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4EC7248B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2E35" w:rsidRPr="00ED2E35">
              <w:rPr>
                <w:rFonts w:ascii="Arial" w:hAnsi="Arial" w:cs="Arial"/>
                <w:b/>
                <w:sz w:val="24"/>
                <w:szCs w:val="24"/>
              </w:rPr>
              <w:t>Reial decret llei 6/2023. Reformes processals en l’àmbit civil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ED2E35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D2E35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60585F25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D2E35">
        <w:rPr>
          <w:rFonts w:ascii="Arial" w:hAnsi="Arial" w:cs="Arial"/>
          <w:noProof/>
          <w:sz w:val="24"/>
          <w:szCs w:val="24"/>
        </w:rPr>
        <w:t>dimarts, 20 / febrer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caqL+6QpKaD9FKS1xi3da2CG3k6a+SExb6DPoDiN9yLqFtFHLHvce8wOxZYecRcA19iqrxtif7o/0JAZvpfw==" w:salt="8zZ9dn7WdNtXWQlQv3s24A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E31BB8"/>
    <w:rsid w:val="00ED2E35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2024-02-20T17:52:00Z</dcterms:created>
  <dcterms:modified xsi:type="dcterms:W3CDTF">2024-02-20T17:52:00Z</dcterms:modified>
</cp:coreProperties>
</file>