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B640" w14:textId="15ADA07C" w:rsidR="00D4100E" w:rsidRPr="00D4100E" w:rsidRDefault="00D4100E" w:rsidP="00D4100E">
      <w:pPr>
        <w:spacing w:after="0" w:line="360" w:lineRule="auto"/>
        <w:ind w:left="708" w:hanging="708"/>
        <w:jc w:val="center"/>
        <w:rPr>
          <w:rFonts w:ascii="Calibri" w:eastAsia="Times New Roman" w:hAnsi="Calibri" w:cs="Arial"/>
          <w:b/>
          <w:i/>
          <w:u w:val="single"/>
          <w:lang w:eastAsia="es-ES"/>
        </w:rPr>
      </w:pPr>
      <w:r w:rsidRPr="00D4100E">
        <w:rPr>
          <w:rFonts w:ascii="Calibri" w:eastAsia="Times New Roman" w:hAnsi="Calibri" w:cs="Arial"/>
          <w:b/>
          <w:i/>
          <w:u w:val="single"/>
          <w:lang w:eastAsia="es-ES"/>
        </w:rPr>
        <w:t>XV</w:t>
      </w:r>
      <w:r w:rsidR="00B377A6">
        <w:rPr>
          <w:rFonts w:ascii="Calibri" w:eastAsia="Times New Roman" w:hAnsi="Calibri" w:cs="Arial"/>
          <w:b/>
          <w:i/>
          <w:u w:val="single"/>
          <w:lang w:eastAsia="es-ES"/>
        </w:rPr>
        <w:t>I</w:t>
      </w:r>
      <w:r w:rsidRPr="00D4100E">
        <w:rPr>
          <w:rFonts w:ascii="Calibri" w:eastAsia="Times New Roman" w:hAnsi="Calibri" w:cs="Arial"/>
          <w:b/>
          <w:i/>
          <w:u w:val="single"/>
          <w:lang w:eastAsia="es-ES"/>
        </w:rPr>
        <w:t xml:space="preserve"> Informe del Observatorio de la Justicia Gratuita Abogacía Española-Wolters </w:t>
      </w:r>
      <w:proofErr w:type="spellStart"/>
      <w:r w:rsidRPr="00D4100E">
        <w:rPr>
          <w:rFonts w:ascii="Calibri" w:eastAsia="Times New Roman" w:hAnsi="Calibri" w:cs="Arial"/>
          <w:b/>
          <w:i/>
          <w:u w:val="single"/>
          <w:lang w:eastAsia="es-ES"/>
        </w:rPr>
        <w:t>Kluwer</w:t>
      </w:r>
      <w:proofErr w:type="spellEnd"/>
    </w:p>
    <w:p w14:paraId="1DA789D4" w14:textId="036A5B7E" w:rsidR="00D4100E" w:rsidRPr="00D110C3" w:rsidRDefault="00D4100E" w:rsidP="001E5DAF">
      <w:pPr>
        <w:jc w:val="center"/>
        <w:rPr>
          <w:b/>
          <w:sz w:val="44"/>
          <w:szCs w:val="50"/>
        </w:rPr>
      </w:pPr>
      <w:r w:rsidRPr="00D110C3">
        <w:rPr>
          <w:b/>
          <w:sz w:val="44"/>
          <w:szCs w:val="50"/>
        </w:rPr>
        <w:t xml:space="preserve">Los </w:t>
      </w:r>
      <w:r w:rsidR="00D74BDC">
        <w:rPr>
          <w:b/>
          <w:color w:val="000000" w:themeColor="text1"/>
          <w:sz w:val="44"/>
          <w:szCs w:val="50"/>
        </w:rPr>
        <w:t>6.355</w:t>
      </w:r>
      <w:r w:rsidR="000242E7" w:rsidRPr="00440D62">
        <w:rPr>
          <w:b/>
          <w:color w:val="000000" w:themeColor="text1"/>
          <w:sz w:val="44"/>
          <w:szCs w:val="50"/>
        </w:rPr>
        <w:t xml:space="preserve"> </w:t>
      </w:r>
      <w:proofErr w:type="gramStart"/>
      <w:r w:rsidRPr="00D110C3">
        <w:rPr>
          <w:b/>
          <w:sz w:val="44"/>
          <w:szCs w:val="50"/>
        </w:rPr>
        <w:t>abogados y abogadas</w:t>
      </w:r>
      <w:proofErr w:type="gramEnd"/>
      <w:r w:rsidRPr="00D110C3">
        <w:rPr>
          <w:b/>
          <w:sz w:val="44"/>
          <w:szCs w:val="50"/>
        </w:rPr>
        <w:t xml:space="preserve"> del Turno de Oficio </w:t>
      </w:r>
      <w:r w:rsidR="00D110C3">
        <w:rPr>
          <w:b/>
          <w:sz w:val="44"/>
          <w:szCs w:val="50"/>
        </w:rPr>
        <w:t xml:space="preserve">de </w:t>
      </w:r>
      <w:r w:rsidR="00D74BDC">
        <w:rPr>
          <w:b/>
          <w:sz w:val="44"/>
          <w:szCs w:val="50"/>
        </w:rPr>
        <w:t>Cataluña</w:t>
      </w:r>
      <w:r w:rsidR="00D110C3">
        <w:rPr>
          <w:b/>
          <w:sz w:val="44"/>
          <w:szCs w:val="50"/>
        </w:rPr>
        <w:t xml:space="preserve"> </w:t>
      </w:r>
      <w:r w:rsidRPr="00D110C3">
        <w:rPr>
          <w:b/>
          <w:sz w:val="44"/>
          <w:szCs w:val="50"/>
        </w:rPr>
        <w:t xml:space="preserve">atienden </w:t>
      </w:r>
      <w:r w:rsidR="00D74BDC">
        <w:rPr>
          <w:b/>
          <w:color w:val="000000" w:themeColor="text1"/>
          <w:sz w:val="44"/>
          <w:szCs w:val="50"/>
        </w:rPr>
        <w:t>373.433</w:t>
      </w:r>
      <w:r w:rsidR="000242E7" w:rsidRPr="009228AE">
        <w:rPr>
          <w:b/>
          <w:color w:val="000000" w:themeColor="text1"/>
          <w:sz w:val="44"/>
          <w:szCs w:val="50"/>
        </w:rPr>
        <w:t xml:space="preserve"> </w:t>
      </w:r>
      <w:r w:rsidRPr="00D110C3">
        <w:rPr>
          <w:b/>
          <w:sz w:val="44"/>
          <w:szCs w:val="50"/>
        </w:rPr>
        <w:t>asuntos de Justicia Gratuita en 202</w:t>
      </w:r>
      <w:r w:rsidR="00F929EB">
        <w:rPr>
          <w:b/>
          <w:sz w:val="44"/>
          <w:szCs w:val="50"/>
        </w:rPr>
        <w:t>1</w:t>
      </w:r>
    </w:p>
    <w:p w14:paraId="25D01D2A" w14:textId="1D9FFD4B" w:rsidR="00EF3AC6" w:rsidRPr="00247C39" w:rsidRDefault="00EF3AC6" w:rsidP="00247C39">
      <w:pPr>
        <w:pStyle w:val="Prrafodelista"/>
        <w:numPr>
          <w:ilvl w:val="0"/>
          <w:numId w:val="1"/>
        </w:numPr>
        <w:jc w:val="both"/>
        <w:rPr>
          <w:rFonts w:cstheme="minorHAnsi"/>
          <w:b/>
          <w:bCs/>
          <w:iCs/>
          <w:color w:val="000000" w:themeColor="text1"/>
          <w:sz w:val="24"/>
          <w:szCs w:val="24"/>
        </w:rPr>
      </w:pPr>
      <w:bookmarkStart w:id="0" w:name="_Hlk72767614"/>
      <w:r w:rsidRPr="00247C39">
        <w:rPr>
          <w:rFonts w:cstheme="minorHAnsi"/>
          <w:b/>
          <w:bCs/>
          <w:iCs/>
          <w:color w:val="000000" w:themeColor="text1"/>
          <w:sz w:val="24"/>
          <w:szCs w:val="24"/>
        </w:rPr>
        <w:t xml:space="preserve">La recuperación de la actividad produjo un aumento en los asuntos del 20,2% respecto a 2020 a nivel nacional. </w:t>
      </w:r>
      <w:r w:rsidR="00247C39" w:rsidRPr="00247C39">
        <w:rPr>
          <w:rFonts w:cstheme="minorHAnsi"/>
          <w:b/>
          <w:bCs/>
          <w:iCs/>
          <w:color w:val="000000" w:themeColor="text1"/>
          <w:sz w:val="24"/>
          <w:szCs w:val="24"/>
        </w:rPr>
        <w:t xml:space="preserve">En </w:t>
      </w:r>
      <w:r w:rsidR="00D4528B">
        <w:rPr>
          <w:rFonts w:cstheme="minorHAnsi"/>
          <w:b/>
          <w:bCs/>
          <w:iCs/>
          <w:color w:val="000000" w:themeColor="text1"/>
          <w:sz w:val="24"/>
          <w:szCs w:val="24"/>
        </w:rPr>
        <w:t>Cataluña</w:t>
      </w:r>
      <w:r w:rsidR="00247C39" w:rsidRPr="00247C39">
        <w:rPr>
          <w:rFonts w:cstheme="minorHAnsi"/>
          <w:b/>
          <w:bCs/>
          <w:iCs/>
          <w:color w:val="000000" w:themeColor="text1"/>
          <w:sz w:val="24"/>
          <w:szCs w:val="24"/>
        </w:rPr>
        <w:t xml:space="preserve"> aumentó</w:t>
      </w:r>
      <w:r w:rsidR="00247C39" w:rsidRPr="00247C39">
        <w:rPr>
          <w:rFonts w:cstheme="minorHAnsi"/>
          <w:b/>
          <w:bCs/>
          <w:iCs/>
          <w:color w:val="FF0000"/>
          <w:sz w:val="24"/>
          <w:szCs w:val="24"/>
        </w:rPr>
        <w:t xml:space="preserve"> </w:t>
      </w:r>
      <w:r w:rsidR="00AF3E34" w:rsidRPr="00AF3E34">
        <w:rPr>
          <w:rFonts w:cstheme="minorHAnsi"/>
          <w:b/>
          <w:bCs/>
          <w:iCs/>
          <w:color w:val="000000" w:themeColor="text1"/>
          <w:sz w:val="24"/>
          <w:szCs w:val="24"/>
        </w:rPr>
        <w:t xml:space="preserve">un </w:t>
      </w:r>
      <w:r w:rsidR="004D5AEA">
        <w:rPr>
          <w:rFonts w:cstheme="minorHAnsi"/>
          <w:b/>
          <w:bCs/>
          <w:iCs/>
          <w:color w:val="000000" w:themeColor="text1"/>
          <w:sz w:val="24"/>
          <w:szCs w:val="24"/>
        </w:rPr>
        <w:t>23,5</w:t>
      </w:r>
      <w:r w:rsidR="00AF3E34" w:rsidRPr="00AF3E34">
        <w:rPr>
          <w:rFonts w:cstheme="minorHAnsi"/>
          <w:b/>
          <w:bCs/>
          <w:iCs/>
          <w:color w:val="000000" w:themeColor="text1"/>
          <w:sz w:val="24"/>
          <w:szCs w:val="24"/>
        </w:rPr>
        <w:t xml:space="preserve"> %.</w:t>
      </w:r>
    </w:p>
    <w:p w14:paraId="67B5141C" w14:textId="007B979E" w:rsidR="003D3F8F" w:rsidRPr="00247C39" w:rsidRDefault="00EF3AC6" w:rsidP="00247C39">
      <w:pPr>
        <w:pStyle w:val="Prrafodelista"/>
        <w:numPr>
          <w:ilvl w:val="0"/>
          <w:numId w:val="1"/>
        </w:numPr>
        <w:jc w:val="both"/>
        <w:rPr>
          <w:rFonts w:cstheme="minorHAnsi"/>
          <w:b/>
          <w:bCs/>
          <w:iCs/>
          <w:color w:val="000000" w:themeColor="text1"/>
          <w:sz w:val="24"/>
          <w:szCs w:val="24"/>
        </w:rPr>
      </w:pPr>
      <w:r w:rsidRPr="00247C39">
        <w:rPr>
          <w:rFonts w:cstheme="minorHAnsi"/>
          <w:b/>
          <w:bCs/>
          <w:iCs/>
          <w:color w:val="000000" w:themeColor="text1"/>
          <w:sz w:val="24"/>
          <w:szCs w:val="24"/>
        </w:rPr>
        <w:t xml:space="preserve">La inversión nacional subió un 16,3% respecto a 2020 y superó los 284 millones de euros. </w:t>
      </w:r>
      <w:r w:rsidR="00D4528B" w:rsidRPr="00D4528B">
        <w:rPr>
          <w:rFonts w:cstheme="minorHAnsi"/>
          <w:b/>
          <w:bCs/>
          <w:iCs/>
          <w:color w:val="000000" w:themeColor="text1"/>
          <w:sz w:val="24"/>
          <w:szCs w:val="24"/>
        </w:rPr>
        <w:t>Cataluña volvió a ser la comunidad autónoma que más invirtió, casi 59 millones de euros (un 20,7% del total).</w:t>
      </w:r>
      <w:r w:rsidR="00D4528B" w:rsidRPr="00A03A1C">
        <w:rPr>
          <w:rFonts w:cstheme="minorHAnsi"/>
        </w:rPr>
        <w:t xml:space="preserve">  </w:t>
      </w:r>
    </w:p>
    <w:p w14:paraId="28D15CAD" w14:textId="77777777" w:rsidR="003D3F8F" w:rsidRPr="00247C39" w:rsidRDefault="003D3F8F" w:rsidP="003D3F8F">
      <w:pPr>
        <w:pStyle w:val="Prrafodelista"/>
        <w:numPr>
          <w:ilvl w:val="0"/>
          <w:numId w:val="1"/>
        </w:numPr>
        <w:jc w:val="both"/>
        <w:rPr>
          <w:rFonts w:cstheme="minorHAnsi"/>
          <w:b/>
          <w:bCs/>
          <w:iCs/>
          <w:color w:val="000000" w:themeColor="text1"/>
          <w:sz w:val="24"/>
          <w:szCs w:val="24"/>
        </w:rPr>
      </w:pPr>
      <w:r w:rsidRPr="00247C39">
        <w:rPr>
          <w:rFonts w:cstheme="minorHAnsi"/>
          <w:b/>
          <w:bCs/>
          <w:iCs/>
          <w:color w:val="000000" w:themeColor="text1"/>
          <w:sz w:val="24"/>
          <w:szCs w:val="24"/>
        </w:rPr>
        <w:t>En el Turno de Oficio crecen notablemente los asuntos de lo social, por la conflictividad laboral, y los penales.</w:t>
      </w:r>
    </w:p>
    <w:p w14:paraId="02DD1EE9" w14:textId="77777777" w:rsidR="003D3F8F" w:rsidRPr="00247C39" w:rsidRDefault="003D3F8F" w:rsidP="003D3F8F">
      <w:pPr>
        <w:pStyle w:val="Prrafodelista"/>
        <w:numPr>
          <w:ilvl w:val="0"/>
          <w:numId w:val="1"/>
        </w:numPr>
        <w:jc w:val="both"/>
        <w:rPr>
          <w:rFonts w:cstheme="minorHAnsi"/>
          <w:b/>
          <w:bCs/>
          <w:iCs/>
          <w:color w:val="000000" w:themeColor="text1"/>
          <w:sz w:val="24"/>
          <w:szCs w:val="24"/>
        </w:rPr>
      </w:pPr>
      <w:r w:rsidRPr="00247C39">
        <w:rPr>
          <w:rFonts w:cstheme="minorHAnsi"/>
          <w:b/>
          <w:bCs/>
          <w:iCs/>
          <w:color w:val="000000" w:themeColor="text1"/>
          <w:sz w:val="24"/>
          <w:szCs w:val="24"/>
        </w:rPr>
        <w:t xml:space="preserve">Uno de cada tres abogados está inscrito en el Turno de Oficio. </w:t>
      </w:r>
    </w:p>
    <w:p w14:paraId="41DCEAC8" w14:textId="77777777" w:rsidR="00376FE1" w:rsidRDefault="003D3F8F" w:rsidP="00376FE1">
      <w:pPr>
        <w:pStyle w:val="Prrafodelista"/>
        <w:numPr>
          <w:ilvl w:val="0"/>
          <w:numId w:val="1"/>
        </w:numPr>
        <w:rPr>
          <w:rFonts w:cstheme="minorHAnsi"/>
          <w:b/>
          <w:bCs/>
          <w:iCs/>
          <w:color w:val="000000" w:themeColor="text1"/>
          <w:sz w:val="24"/>
          <w:szCs w:val="24"/>
        </w:rPr>
      </w:pPr>
      <w:r w:rsidRPr="00247C39">
        <w:rPr>
          <w:rFonts w:cstheme="minorHAnsi"/>
          <w:b/>
          <w:bCs/>
          <w:iCs/>
          <w:color w:val="000000" w:themeColor="text1"/>
          <w:sz w:val="24"/>
          <w:szCs w:val="24"/>
        </w:rPr>
        <w:t>La</w:t>
      </w:r>
      <w:r w:rsidR="005E0171" w:rsidRPr="00247C39">
        <w:rPr>
          <w:rFonts w:cstheme="minorHAnsi"/>
          <w:b/>
          <w:bCs/>
          <w:iCs/>
          <w:color w:val="000000" w:themeColor="text1"/>
          <w:sz w:val="24"/>
          <w:szCs w:val="24"/>
        </w:rPr>
        <w:t xml:space="preserve"> inversión por ciudadano se incrementa hasta los 6 euros.  </w:t>
      </w:r>
      <w:r w:rsidR="00376FE1">
        <w:rPr>
          <w:rFonts w:cstheme="minorHAnsi"/>
          <w:b/>
          <w:bCs/>
          <w:iCs/>
          <w:color w:val="000000" w:themeColor="text1"/>
          <w:sz w:val="24"/>
          <w:szCs w:val="24"/>
        </w:rPr>
        <w:t xml:space="preserve">En Cataluña fue ligeramente superior, hasta 7,59 €. </w:t>
      </w:r>
    </w:p>
    <w:p w14:paraId="77F77DC0" w14:textId="39D88116" w:rsidR="003D3F8F" w:rsidRPr="00376FE1" w:rsidRDefault="00376FE1" w:rsidP="00376FE1">
      <w:pPr>
        <w:pStyle w:val="Prrafodelista"/>
        <w:numPr>
          <w:ilvl w:val="0"/>
          <w:numId w:val="1"/>
        </w:numPr>
        <w:rPr>
          <w:rFonts w:cstheme="minorHAnsi"/>
          <w:b/>
          <w:bCs/>
          <w:iCs/>
          <w:color w:val="000000" w:themeColor="text1"/>
          <w:sz w:val="24"/>
          <w:szCs w:val="24"/>
        </w:rPr>
      </w:pPr>
      <w:r>
        <w:rPr>
          <w:rFonts w:cstheme="minorHAnsi"/>
          <w:b/>
          <w:bCs/>
          <w:iCs/>
          <w:color w:val="000000" w:themeColor="text1"/>
          <w:sz w:val="24"/>
          <w:szCs w:val="24"/>
        </w:rPr>
        <w:t>La</w:t>
      </w:r>
      <w:r w:rsidR="005E0171" w:rsidRPr="00376FE1">
        <w:rPr>
          <w:rFonts w:cstheme="minorHAnsi"/>
          <w:b/>
          <w:bCs/>
          <w:iCs/>
          <w:color w:val="000000" w:themeColor="text1"/>
          <w:sz w:val="24"/>
          <w:szCs w:val="24"/>
        </w:rPr>
        <w:t xml:space="preserve"> retribución por asunto baja hasta los 147 euros. </w:t>
      </w:r>
    </w:p>
    <w:p w14:paraId="6CA015ED" w14:textId="77777777" w:rsidR="003D3F8F" w:rsidRPr="00247C39" w:rsidRDefault="003D3F8F" w:rsidP="003D3F8F">
      <w:pPr>
        <w:pStyle w:val="Prrafodelista"/>
        <w:numPr>
          <w:ilvl w:val="0"/>
          <w:numId w:val="1"/>
        </w:numPr>
        <w:jc w:val="both"/>
        <w:rPr>
          <w:rFonts w:cstheme="minorHAnsi"/>
          <w:b/>
          <w:bCs/>
          <w:iCs/>
          <w:color w:val="000000" w:themeColor="text1"/>
          <w:sz w:val="24"/>
          <w:szCs w:val="24"/>
        </w:rPr>
      </w:pPr>
      <w:r w:rsidRPr="00247C39">
        <w:rPr>
          <w:rFonts w:cstheme="minorHAnsi"/>
          <w:b/>
          <w:bCs/>
          <w:iCs/>
          <w:color w:val="000000" w:themeColor="text1"/>
          <w:sz w:val="24"/>
          <w:szCs w:val="24"/>
        </w:rPr>
        <w:t>El 82% de los usuarios tiene una opinión positiva del servicio.</w:t>
      </w:r>
    </w:p>
    <w:p w14:paraId="1AAE6976" w14:textId="5D36C4B9" w:rsidR="00723B9B" w:rsidRPr="00723B9B" w:rsidRDefault="00723B9B" w:rsidP="00723B9B">
      <w:pPr>
        <w:pStyle w:val="Prrafodelista"/>
        <w:spacing w:line="360" w:lineRule="auto"/>
        <w:jc w:val="both"/>
        <w:rPr>
          <w:rFonts w:ascii="Calibri" w:hAnsi="Calibri" w:cs="Arial"/>
        </w:rPr>
      </w:pPr>
      <w:r>
        <w:rPr>
          <w:noProof/>
          <w:lang w:eastAsia="es-ES"/>
        </w:rPr>
        <mc:AlternateContent>
          <mc:Choice Requires="wps">
            <w:drawing>
              <wp:anchor distT="0" distB="0" distL="114300" distR="114300" simplePos="0" relativeHeight="251658752" behindDoc="0" locked="0" layoutInCell="1" allowOverlap="1" wp14:anchorId="332E5444" wp14:editId="3678A2F1">
                <wp:simplePos x="0" y="0"/>
                <wp:positionH relativeFrom="column">
                  <wp:posOffset>0</wp:posOffset>
                </wp:positionH>
                <wp:positionV relativeFrom="paragraph">
                  <wp:posOffset>160655</wp:posOffset>
                </wp:positionV>
                <wp:extent cx="5644515" cy="0"/>
                <wp:effectExtent l="13335" t="11430" r="9525"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4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0F860" id="Conector recto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5pt" to="444.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"/>
            </w:pict>
          </mc:Fallback>
        </mc:AlternateContent>
      </w:r>
    </w:p>
    <w:bookmarkEnd w:id="0"/>
    <w:p w14:paraId="40B5969A" w14:textId="3129CEF2" w:rsidR="00C9689C" w:rsidRDefault="00723B9B" w:rsidP="00C9689C">
      <w:pPr>
        <w:jc w:val="both"/>
      </w:pPr>
      <w:r w:rsidRPr="00723B9B">
        <w:rPr>
          <w:b/>
        </w:rPr>
        <w:t>06/07/202</w:t>
      </w:r>
      <w:r w:rsidR="00F929EB">
        <w:rPr>
          <w:b/>
        </w:rPr>
        <w:t>2</w:t>
      </w:r>
      <w:r>
        <w:t xml:space="preserve">.- </w:t>
      </w:r>
      <w:r w:rsidR="003C4284">
        <w:t xml:space="preserve">Los </w:t>
      </w:r>
      <w:r w:rsidR="00D4528B">
        <w:t>6.355</w:t>
      </w:r>
      <w:r w:rsidR="003C4284">
        <w:t xml:space="preserve"> profesionales de la abogacía adscritos al Turno de Oficio en C</w:t>
      </w:r>
      <w:r w:rsidR="00AC4596">
        <w:t xml:space="preserve">ataluña </w:t>
      </w:r>
      <w:r w:rsidR="003C4284">
        <w:t>atendieron un total de</w:t>
      </w:r>
      <w:r w:rsidR="009F4DB2">
        <w:t xml:space="preserve"> </w:t>
      </w:r>
      <w:r w:rsidR="00D4528B">
        <w:rPr>
          <w:color w:val="000000" w:themeColor="text1"/>
        </w:rPr>
        <w:t>373.433</w:t>
      </w:r>
      <w:r w:rsidR="00881D73" w:rsidRPr="00881D73">
        <w:rPr>
          <w:color w:val="000000" w:themeColor="text1"/>
        </w:rPr>
        <w:t xml:space="preserve"> asuntos</w:t>
      </w:r>
      <w:r w:rsidR="009F4DB2" w:rsidRPr="00881D73">
        <w:rPr>
          <w:color w:val="000000" w:themeColor="text1"/>
        </w:rPr>
        <w:t xml:space="preserve"> de </w:t>
      </w:r>
      <w:r w:rsidR="009F4DB2">
        <w:t xml:space="preserve">Justicia Gratuita durante </w:t>
      </w:r>
      <w:r w:rsidR="009F4DB2" w:rsidRPr="00881D73">
        <w:rPr>
          <w:color w:val="000000" w:themeColor="text1"/>
        </w:rPr>
        <w:t>202</w:t>
      </w:r>
      <w:r w:rsidR="000B7EA5" w:rsidRPr="00881D73">
        <w:rPr>
          <w:color w:val="000000" w:themeColor="text1"/>
        </w:rPr>
        <w:t>1</w:t>
      </w:r>
      <w:r w:rsidR="00D340B4">
        <w:t xml:space="preserve">, lo que supone un </w:t>
      </w:r>
      <w:r w:rsidR="00881D73" w:rsidRPr="00881D73">
        <w:rPr>
          <w:color w:val="000000" w:themeColor="text1"/>
        </w:rPr>
        <w:t>aumento</w:t>
      </w:r>
      <w:r w:rsidR="00D340B4" w:rsidRPr="00881D73">
        <w:rPr>
          <w:color w:val="000000" w:themeColor="text1"/>
        </w:rPr>
        <w:t xml:space="preserve"> del </w:t>
      </w:r>
      <w:r w:rsidR="00D4528B">
        <w:rPr>
          <w:color w:val="000000" w:themeColor="text1"/>
        </w:rPr>
        <w:t>23,5</w:t>
      </w:r>
      <w:r w:rsidR="001D52BD" w:rsidRPr="00881D73">
        <w:rPr>
          <w:color w:val="000000" w:themeColor="text1"/>
        </w:rPr>
        <w:t xml:space="preserve"> </w:t>
      </w:r>
      <w:r w:rsidR="009F4DB2" w:rsidRPr="00881D73">
        <w:rPr>
          <w:color w:val="000000" w:themeColor="text1"/>
        </w:rPr>
        <w:t>% con respecto a 20</w:t>
      </w:r>
      <w:r w:rsidR="00881D73" w:rsidRPr="00881D73">
        <w:rPr>
          <w:color w:val="000000" w:themeColor="text1"/>
        </w:rPr>
        <w:t>20</w:t>
      </w:r>
      <w:r w:rsidR="009F4DB2" w:rsidRPr="00881D73">
        <w:rPr>
          <w:color w:val="000000" w:themeColor="text1"/>
        </w:rPr>
        <w:t xml:space="preserve"> </w:t>
      </w:r>
      <w:r w:rsidR="003C4284">
        <w:t xml:space="preserve">(este aumento es superior a la media nacional, que fue </w:t>
      </w:r>
      <w:r w:rsidR="003C4284" w:rsidRPr="009D7EA3">
        <w:rPr>
          <w:color w:val="000000" w:themeColor="text1"/>
        </w:rPr>
        <w:t>del 20,2%)</w:t>
      </w:r>
      <w:r w:rsidR="009F4DB2" w:rsidRPr="009D7EA3">
        <w:rPr>
          <w:color w:val="000000" w:themeColor="text1"/>
        </w:rPr>
        <w:t xml:space="preserve">. </w:t>
      </w:r>
      <w:r w:rsidR="00C9689C">
        <w:t xml:space="preserve">De estos, </w:t>
      </w:r>
      <w:r w:rsidR="00D4528B">
        <w:t>214.710</w:t>
      </w:r>
      <w:r w:rsidR="00C9689C">
        <w:t xml:space="preserve"> corresponden al Turno de Oficio, mientras que </w:t>
      </w:r>
      <w:r w:rsidR="00D4528B">
        <w:t>144.194</w:t>
      </w:r>
      <w:r w:rsidR="00C9689C">
        <w:t xml:space="preserve"> corresponden a la asistencia letrada al detenido, y </w:t>
      </w:r>
      <w:r w:rsidR="00D4528B">
        <w:t>14.529</w:t>
      </w:r>
      <w:r w:rsidR="00C9689C">
        <w:t xml:space="preserve"> a violencia de género. </w:t>
      </w:r>
    </w:p>
    <w:p w14:paraId="128B3B0A" w14:textId="4D659D7C" w:rsidR="00C9689C" w:rsidRDefault="00C9689C" w:rsidP="00C9689C">
      <w:pPr>
        <w:jc w:val="both"/>
      </w:pPr>
      <w:r>
        <w:t xml:space="preserve">Los </w:t>
      </w:r>
      <w:r w:rsidR="00D4528B">
        <w:t xml:space="preserve">14 </w:t>
      </w:r>
      <w:r>
        <w:t xml:space="preserve">Colegios de Abogacía de </w:t>
      </w:r>
      <w:r w:rsidR="00D4528B">
        <w:t>Cataluña</w:t>
      </w:r>
      <w:r>
        <w:t xml:space="preserve"> remitieron a las respectivas Comisiones de Asistencia Jurídica Gratuita </w:t>
      </w:r>
      <w:r w:rsidR="00D4528B">
        <w:t>182.294</w:t>
      </w:r>
      <w:r>
        <w:t xml:space="preserve"> expedientes</w:t>
      </w:r>
      <w:r w:rsidR="00D4528B">
        <w:t xml:space="preserve">, siendo la comunidad que más expedientes </w:t>
      </w:r>
      <w:r w:rsidR="00376FE1">
        <w:t>remitió</w:t>
      </w:r>
      <w:r>
        <w:t xml:space="preserve">, </w:t>
      </w:r>
      <w:r w:rsidR="00376FE1">
        <w:t xml:space="preserve">generando </w:t>
      </w:r>
      <w:r>
        <w:t>más asuntos debido a la interposición de recursos, la presentación de incidentes procesales o la generación de nuevos procedimientos.</w:t>
      </w:r>
    </w:p>
    <w:p w14:paraId="2372F954" w14:textId="7C5E13E0" w:rsidR="00376FE1" w:rsidRDefault="00376FE1" w:rsidP="0049262B">
      <w:pPr>
        <w:spacing w:after="120"/>
        <w:jc w:val="both"/>
        <w:rPr>
          <w:rFonts w:cstheme="minorHAnsi"/>
        </w:rPr>
      </w:pPr>
      <w:r w:rsidRPr="00A03A1C">
        <w:rPr>
          <w:rFonts w:cstheme="minorHAnsi"/>
        </w:rPr>
        <w:t xml:space="preserve">Cataluña volvió a ser la comunidad autónoma que más invirtió, </w:t>
      </w:r>
      <w:r>
        <w:rPr>
          <w:rFonts w:cstheme="minorHAnsi"/>
        </w:rPr>
        <w:t>58.962.454</w:t>
      </w:r>
      <w:r w:rsidRPr="00A03A1C">
        <w:rPr>
          <w:rFonts w:cstheme="minorHAnsi"/>
        </w:rPr>
        <w:t xml:space="preserve"> de euros (un 20,7% del total).  </w:t>
      </w:r>
    </w:p>
    <w:p w14:paraId="46593247" w14:textId="2A65EE48" w:rsidR="0049262B" w:rsidRPr="00A03A1C" w:rsidRDefault="0049262B" w:rsidP="0049262B">
      <w:pPr>
        <w:spacing w:after="120"/>
        <w:jc w:val="both"/>
        <w:rPr>
          <w:rFonts w:cstheme="minorHAnsi"/>
        </w:rPr>
      </w:pPr>
      <w:r w:rsidRPr="00A03A1C">
        <w:rPr>
          <w:rFonts w:cstheme="minorHAnsi"/>
        </w:rPr>
        <w:t xml:space="preserve">Los 83 Colegios de la Abogacía atendieron 1.923.183 asuntos de Justicia Gratuita durante 2021, un 20,2% más que en 2020. Estas cifras reflejan la recuperación de la actividad y se acercan ya a las registradas antes de la pandemia (en 2019 se atendieron 1.996.669 asuntos). </w:t>
      </w:r>
    </w:p>
    <w:p w14:paraId="66EA9DE4" w14:textId="77777777" w:rsidR="0049262B" w:rsidRPr="00A03A1C" w:rsidRDefault="0049262B" w:rsidP="0049262B">
      <w:pPr>
        <w:spacing w:after="120"/>
        <w:jc w:val="both"/>
        <w:rPr>
          <w:rFonts w:cstheme="minorHAnsi"/>
        </w:rPr>
      </w:pPr>
      <w:r w:rsidRPr="00A03A1C">
        <w:rPr>
          <w:rFonts w:cstheme="minorHAnsi"/>
        </w:rPr>
        <w:t xml:space="preserve">A través de los Colegios, o mediante presentación de escritos en los juzgados, los ciudadanos realizaron 988.072 solicitudes de Asistencia Jurídica Gratuita, un 20% más que en 2020. Tras su análisis, fueron remitidos a las comisiones de asistencia jurídica gratuita 785.550 expedientes, </w:t>
      </w:r>
      <w:r w:rsidRPr="00A03A1C">
        <w:rPr>
          <w:rFonts w:cstheme="minorHAnsi"/>
        </w:rPr>
        <w:lastRenderedPageBreak/>
        <w:t xml:space="preserve">que dieron lugar a más del doble de asuntos debido a la interposición de recursos o a la presentación de incidentes procesales. De estos expedientes fueron confirmados el 87%. Y el 88% fueron tramitados mediante expediente electrónico, la herramienta desarrollada por la Abogacía Española para agilizar el acceso a la Justicia y facilitar los trámites. </w:t>
      </w:r>
    </w:p>
    <w:p w14:paraId="51B822B9" w14:textId="77777777" w:rsidR="0049262B" w:rsidRPr="00A03A1C" w:rsidRDefault="0049262B" w:rsidP="0049262B">
      <w:pPr>
        <w:spacing w:after="120"/>
        <w:jc w:val="both"/>
        <w:rPr>
          <w:rFonts w:cstheme="minorHAnsi"/>
        </w:rPr>
      </w:pPr>
      <w:r w:rsidRPr="00A03A1C">
        <w:rPr>
          <w:rFonts w:cstheme="minorHAnsi"/>
        </w:rPr>
        <w:t>De los casi dos millones de asuntos generados, más del 62% corresponden al turno de oficio (1.201.489), el 34,2% a asistencia letrada (657.166) y el 3,4% a violencia de género (64.528).</w:t>
      </w:r>
    </w:p>
    <w:p w14:paraId="2018E674" w14:textId="77777777" w:rsidR="0049262B" w:rsidRPr="00A03A1C" w:rsidRDefault="0049262B" w:rsidP="0049262B">
      <w:pPr>
        <w:spacing w:line="360" w:lineRule="auto"/>
        <w:jc w:val="both"/>
        <w:rPr>
          <w:rFonts w:cstheme="minorHAnsi"/>
          <w:b/>
          <w:bCs/>
          <w:color w:val="4472C4" w:themeColor="accent1"/>
        </w:rPr>
      </w:pPr>
      <w:r w:rsidRPr="00A03A1C">
        <w:rPr>
          <w:rFonts w:cstheme="minorHAnsi"/>
          <w:b/>
          <w:bCs/>
          <w:color w:val="4472C4" w:themeColor="accent1"/>
        </w:rPr>
        <w:t xml:space="preserve">Aumentan los asuntos de lo social debido a los despidos y </w:t>
      </w:r>
      <w:proofErr w:type="spellStart"/>
      <w:r w:rsidRPr="00A03A1C">
        <w:rPr>
          <w:rFonts w:cstheme="minorHAnsi"/>
          <w:b/>
          <w:bCs/>
          <w:color w:val="4472C4" w:themeColor="accent1"/>
        </w:rPr>
        <w:t>ERTEs</w:t>
      </w:r>
      <w:proofErr w:type="spellEnd"/>
    </w:p>
    <w:p w14:paraId="764DC269" w14:textId="77777777" w:rsidR="0049262B" w:rsidRPr="00A03A1C" w:rsidRDefault="0049262B" w:rsidP="0049262B">
      <w:pPr>
        <w:spacing w:after="120"/>
        <w:jc w:val="both"/>
        <w:rPr>
          <w:rFonts w:cstheme="minorHAnsi"/>
        </w:rPr>
      </w:pPr>
      <w:r w:rsidRPr="00A03A1C">
        <w:rPr>
          <w:rFonts w:cstheme="minorHAnsi"/>
        </w:rPr>
        <w:t>Tras la paralización que supuso la pandemia, la normalización paulatina tanto de la vida cotidiana como de la actividad judicial supuso un aumento de los asuntos y de los importes.  El mayor aumento de asuntos se produjo en el Turno de Oficio (un 21% más). Y dentro de este, el mayor aumento se dio en lo social (un 27,1%) debido, como explican los Colegios, a la conflictividad laboral provocada por la pandemia, con un gran número de despidos y ERTES. También aumentaron las asistencias penales (24,4%). Los asuntos de asistencia letrada aumentaron un 18,2% y los de violencia de género un 15%.</w:t>
      </w:r>
    </w:p>
    <w:p w14:paraId="202820EB" w14:textId="04A945E6" w:rsidR="0049262B" w:rsidRPr="00A03A1C" w:rsidRDefault="0049262B" w:rsidP="0049262B">
      <w:pPr>
        <w:spacing w:line="360" w:lineRule="auto"/>
        <w:jc w:val="both"/>
        <w:rPr>
          <w:rFonts w:cstheme="minorHAnsi"/>
          <w:b/>
          <w:bCs/>
          <w:color w:val="4472C4" w:themeColor="accent1"/>
        </w:rPr>
      </w:pPr>
      <w:r w:rsidRPr="00A03A1C">
        <w:rPr>
          <w:rFonts w:cstheme="minorHAnsi"/>
          <w:b/>
          <w:bCs/>
          <w:color w:val="4472C4" w:themeColor="accent1"/>
        </w:rPr>
        <w:t>Andalucía</w:t>
      </w:r>
      <w:r w:rsidR="00351FE4">
        <w:rPr>
          <w:rFonts w:cstheme="minorHAnsi"/>
          <w:b/>
          <w:bCs/>
          <w:color w:val="4472C4" w:themeColor="accent1"/>
        </w:rPr>
        <w:t>,</w:t>
      </w:r>
      <w:r w:rsidRPr="00A03A1C">
        <w:rPr>
          <w:rFonts w:cstheme="minorHAnsi"/>
          <w:b/>
          <w:bCs/>
          <w:color w:val="4472C4" w:themeColor="accent1"/>
        </w:rPr>
        <w:t xml:space="preserve"> la comunidad con mayor número de asuntos</w:t>
      </w:r>
    </w:p>
    <w:p w14:paraId="3E83AB11" w14:textId="77777777" w:rsidR="0049262B" w:rsidRPr="00A03A1C" w:rsidRDefault="0049262B" w:rsidP="0049262B">
      <w:pPr>
        <w:spacing w:after="120"/>
        <w:jc w:val="both"/>
        <w:rPr>
          <w:rFonts w:cstheme="minorHAnsi"/>
        </w:rPr>
      </w:pPr>
      <w:r w:rsidRPr="00A03A1C">
        <w:rPr>
          <w:rFonts w:cstheme="minorHAnsi"/>
        </w:rPr>
        <w:t>Como en años anteriores, Andalucía volvió a ser la comunidad autónoma con más asuntos atendidos (420.136, un 21,8% del total), seguida de Cataluña con 373.433 y la Comunidad Valenciana con 278.128.</w:t>
      </w:r>
    </w:p>
    <w:p w14:paraId="5C4680E4" w14:textId="77777777" w:rsidR="0049262B" w:rsidRPr="00A03A1C" w:rsidRDefault="0049262B" w:rsidP="0049262B">
      <w:pPr>
        <w:spacing w:after="120"/>
        <w:jc w:val="both"/>
        <w:rPr>
          <w:rFonts w:cstheme="minorHAnsi"/>
        </w:rPr>
      </w:pPr>
      <w:r w:rsidRPr="00A03A1C">
        <w:rPr>
          <w:rFonts w:cstheme="minorHAnsi"/>
        </w:rPr>
        <w:t>Canarias fue la que registró el aumento mayor de asuntos, con un 28,5% más que el año anterior. En el otro extremo, en Ceuta y Melilla disminuyó el número de asuntos (</w:t>
      </w:r>
      <w:bookmarkStart w:id="1" w:name="_Hlk107308352"/>
      <w:r w:rsidRPr="00A03A1C">
        <w:rPr>
          <w:rFonts w:cstheme="minorHAnsi"/>
        </w:rPr>
        <w:t>23,1% y 7,7%, menos, respectivamente)</w:t>
      </w:r>
      <w:bookmarkEnd w:id="1"/>
      <w:r w:rsidRPr="00A03A1C">
        <w:rPr>
          <w:rFonts w:cstheme="minorHAnsi"/>
        </w:rPr>
        <w:t xml:space="preserve"> debido al cierre de la frontera con Marruecos, que conllevó un descenso notable de los procedimientos penales y de extranjería.</w:t>
      </w:r>
    </w:p>
    <w:p w14:paraId="0B5F34C3" w14:textId="7CA7F13B" w:rsidR="003D3F8F" w:rsidRPr="00247C39" w:rsidRDefault="003D3F8F" w:rsidP="00247C39">
      <w:pPr>
        <w:spacing w:line="360" w:lineRule="auto"/>
        <w:jc w:val="both"/>
        <w:rPr>
          <w:rFonts w:eastAsia="Calibri" w:cstheme="minorHAnsi"/>
          <w:b/>
          <w:bCs/>
          <w:color w:val="4472C4" w:themeColor="accent1"/>
        </w:rPr>
      </w:pPr>
      <w:r w:rsidRPr="00247C39">
        <w:rPr>
          <w:rFonts w:eastAsia="Calibri" w:cstheme="minorHAnsi"/>
          <w:b/>
          <w:bCs/>
          <w:color w:val="4472C4" w:themeColor="accent1"/>
        </w:rPr>
        <w:t xml:space="preserve">Un </w:t>
      </w:r>
      <w:r w:rsidR="00C9689C" w:rsidRPr="00247C39">
        <w:rPr>
          <w:rFonts w:eastAsia="Calibri" w:cstheme="minorHAnsi"/>
          <w:b/>
          <w:bCs/>
          <w:color w:val="4472C4" w:themeColor="accent1"/>
        </w:rPr>
        <w:t>1</w:t>
      </w:r>
      <w:r w:rsidR="001D0899" w:rsidRPr="00247C39">
        <w:rPr>
          <w:rFonts w:eastAsia="Calibri" w:cstheme="minorHAnsi"/>
          <w:b/>
          <w:bCs/>
          <w:color w:val="4472C4" w:themeColor="accent1"/>
        </w:rPr>
        <w:t>6,3</w:t>
      </w:r>
      <w:r w:rsidR="00C9689C" w:rsidRPr="00247C39">
        <w:rPr>
          <w:rFonts w:eastAsia="Calibri" w:cstheme="minorHAnsi"/>
          <w:b/>
          <w:bCs/>
          <w:color w:val="4472C4" w:themeColor="accent1"/>
        </w:rPr>
        <w:t xml:space="preserve"> </w:t>
      </w:r>
      <w:r w:rsidRPr="00247C39">
        <w:rPr>
          <w:rFonts w:eastAsia="Calibri" w:cstheme="minorHAnsi"/>
          <w:b/>
          <w:bCs/>
          <w:color w:val="4472C4" w:themeColor="accent1"/>
        </w:rPr>
        <w:t>% más de inversión</w:t>
      </w:r>
    </w:p>
    <w:p w14:paraId="1CFF8554" w14:textId="725644C9" w:rsidR="003D3F8F" w:rsidRPr="00BA1468" w:rsidRDefault="003D3F8F" w:rsidP="00BA1468">
      <w:pPr>
        <w:spacing w:after="120"/>
        <w:jc w:val="both"/>
        <w:rPr>
          <w:rFonts w:cstheme="minorHAnsi"/>
        </w:rPr>
      </w:pPr>
      <w:r w:rsidRPr="00BA1468">
        <w:rPr>
          <w:rFonts w:cstheme="minorHAnsi"/>
        </w:rPr>
        <w:t xml:space="preserve">La inversión en Justicia Gratuita en </w:t>
      </w:r>
      <w:r w:rsidR="00AC4596">
        <w:rPr>
          <w:rFonts w:cstheme="minorHAnsi"/>
        </w:rPr>
        <w:t>Cataluña aumentó</w:t>
      </w:r>
      <w:r w:rsidRPr="00BA1468">
        <w:rPr>
          <w:rFonts w:cstheme="minorHAnsi"/>
        </w:rPr>
        <w:t xml:space="preserve"> un </w:t>
      </w:r>
      <w:r w:rsidR="00AC4596">
        <w:rPr>
          <w:rFonts w:cstheme="minorHAnsi"/>
        </w:rPr>
        <w:t>22,5 %</w:t>
      </w:r>
      <w:r w:rsidRPr="00BA1468">
        <w:rPr>
          <w:rFonts w:cstheme="minorHAnsi"/>
        </w:rPr>
        <w:t xml:space="preserve"> hasta alcanzar los </w:t>
      </w:r>
      <w:r w:rsidR="00AC4596">
        <w:rPr>
          <w:rFonts w:cstheme="minorHAnsi"/>
        </w:rPr>
        <w:t>58.962.454</w:t>
      </w:r>
      <w:r w:rsidRPr="00BA1468">
        <w:rPr>
          <w:rFonts w:cstheme="minorHAnsi"/>
        </w:rPr>
        <w:t xml:space="preserve"> millones de euros. </w:t>
      </w:r>
    </w:p>
    <w:p w14:paraId="3B602678" w14:textId="77777777" w:rsidR="0049262B" w:rsidRPr="00A03A1C" w:rsidRDefault="0049262B" w:rsidP="0049262B">
      <w:pPr>
        <w:spacing w:after="120"/>
        <w:jc w:val="both"/>
        <w:rPr>
          <w:rFonts w:cstheme="minorHAnsi"/>
        </w:rPr>
      </w:pPr>
      <w:r w:rsidRPr="00A03A1C">
        <w:rPr>
          <w:rFonts w:cstheme="minorHAnsi"/>
        </w:rPr>
        <w:t>A nivel nacional, la inversión en Justicia Gratuita de las distintas administraciones públicas aumentó un 16,3% respecto a 2020, hasta superar los 284,3 millones de euros, un millón menos que antes de la pandemia, en 2019, cuando se invirtieron 285,8 millones.</w:t>
      </w:r>
    </w:p>
    <w:p w14:paraId="72B09857" w14:textId="77777777" w:rsidR="0049262B" w:rsidRPr="00A03A1C" w:rsidRDefault="0049262B" w:rsidP="0049262B">
      <w:pPr>
        <w:spacing w:after="120"/>
        <w:jc w:val="both"/>
        <w:rPr>
          <w:rFonts w:cstheme="minorHAnsi"/>
        </w:rPr>
      </w:pPr>
      <w:r w:rsidRPr="00A03A1C">
        <w:rPr>
          <w:rFonts w:cstheme="minorHAnsi"/>
        </w:rPr>
        <w:t xml:space="preserve">El 67,5% de la inversión global se destinó al turno de oficio, el 18,9% a asistencia letrada, el 4,6% a violencia de género y el 9,1% a gastos de infraestructura. </w:t>
      </w:r>
    </w:p>
    <w:p w14:paraId="7BD13E22" w14:textId="4A80B4C9" w:rsidR="0049262B" w:rsidRPr="00A03A1C" w:rsidRDefault="0049262B" w:rsidP="0049262B">
      <w:pPr>
        <w:spacing w:after="120"/>
        <w:jc w:val="both"/>
        <w:rPr>
          <w:rFonts w:cstheme="minorHAnsi"/>
        </w:rPr>
      </w:pPr>
      <w:r w:rsidRPr="00A03A1C">
        <w:rPr>
          <w:rFonts w:cstheme="minorHAnsi"/>
        </w:rPr>
        <w:t xml:space="preserve">Baleares fue la comunidad que más aumentó su inversión (26,5%). En el otro extremo, Melilla y Ceuta redujeron notablemente su inversión (26,1 y 15,9% menos, respectivamente), debido a la disminución de asuntos. </w:t>
      </w:r>
    </w:p>
    <w:p w14:paraId="25499A5C" w14:textId="77777777" w:rsidR="0049262B" w:rsidRPr="00A03A1C" w:rsidRDefault="0049262B" w:rsidP="0049262B">
      <w:pPr>
        <w:spacing w:after="120"/>
        <w:jc w:val="both"/>
        <w:rPr>
          <w:rFonts w:cstheme="minorHAnsi"/>
        </w:rPr>
      </w:pPr>
      <w:r w:rsidRPr="00A03A1C">
        <w:rPr>
          <w:rFonts w:cstheme="minorHAnsi"/>
        </w:rPr>
        <w:t xml:space="preserve">La inversión media anual por ciudadano se ha incrementado de los 5,16 hasta los 6 euros. En Andalucía es ligeramente superior, llegando a los 6,45 euros por ciudadano. </w:t>
      </w:r>
    </w:p>
    <w:p w14:paraId="13B38694" w14:textId="77777777" w:rsidR="0049262B" w:rsidRPr="00A03A1C" w:rsidRDefault="0049262B" w:rsidP="0049262B">
      <w:pPr>
        <w:spacing w:after="120"/>
        <w:jc w:val="both"/>
        <w:rPr>
          <w:rFonts w:cstheme="minorHAnsi"/>
        </w:rPr>
      </w:pPr>
      <w:r w:rsidRPr="00A03A1C">
        <w:rPr>
          <w:rFonts w:cstheme="minorHAnsi"/>
        </w:rPr>
        <w:lastRenderedPageBreak/>
        <w:t xml:space="preserve">La retribución media que percibieron los profesionales por cada asunto tramitado bajó a 147,87 euros, por debajo de los 153,14 de 2020 pero superior a los 143 que cobraron en 2019. La baja remuneración por la asistencia jurídica gratuita es una de las principales quejas de los profesionales que ofrecen este servicio esencial. </w:t>
      </w:r>
    </w:p>
    <w:p w14:paraId="250207EE" w14:textId="77777777" w:rsidR="003D3F8F" w:rsidRPr="00247C39" w:rsidRDefault="003D3F8F" w:rsidP="003D3F8F">
      <w:pPr>
        <w:spacing w:line="360" w:lineRule="auto"/>
        <w:jc w:val="both"/>
        <w:rPr>
          <w:rFonts w:eastAsia="Calibri" w:cstheme="minorHAnsi"/>
          <w:b/>
          <w:bCs/>
          <w:color w:val="4472C4" w:themeColor="accent1"/>
        </w:rPr>
      </w:pPr>
      <w:r w:rsidRPr="00247C39">
        <w:rPr>
          <w:rFonts w:eastAsia="Calibri" w:cstheme="minorHAnsi"/>
          <w:b/>
          <w:bCs/>
          <w:color w:val="4472C4" w:themeColor="accent1"/>
        </w:rPr>
        <w:t>Uno de cada tres abogados, inscrito en el Turno de Oficio</w:t>
      </w:r>
    </w:p>
    <w:p w14:paraId="0CCBF95C" w14:textId="77777777" w:rsidR="0049262B" w:rsidRPr="00A03A1C" w:rsidRDefault="0049262B" w:rsidP="0049262B">
      <w:pPr>
        <w:spacing w:after="120"/>
        <w:jc w:val="both"/>
        <w:rPr>
          <w:rFonts w:cstheme="minorHAnsi"/>
        </w:rPr>
      </w:pPr>
      <w:r w:rsidRPr="00A03A1C">
        <w:rPr>
          <w:rFonts w:cstheme="minorHAnsi"/>
        </w:rPr>
        <w:t xml:space="preserve">En nuestro país hay actualmente 144.642 abogados ejercientes, de los que 43.696 están inscritos al Turno de Oficio (de los cuales el 52% son hombres y el 48% mujeres). Esta cifra supone un descenso del 3,49% respecto al año anterior. En Andalucía el 40% (9.287) de los 23.003 abogados están inscritos en el Turno de Oficio. </w:t>
      </w:r>
    </w:p>
    <w:p w14:paraId="0829EC22" w14:textId="77777777" w:rsidR="0049262B" w:rsidRPr="00A03A1C" w:rsidRDefault="0049262B" w:rsidP="0049262B">
      <w:pPr>
        <w:spacing w:after="120"/>
        <w:jc w:val="both"/>
        <w:rPr>
          <w:rFonts w:cstheme="minorHAnsi"/>
        </w:rPr>
      </w:pPr>
      <w:r w:rsidRPr="00A03A1C">
        <w:rPr>
          <w:rFonts w:cstheme="minorHAnsi"/>
        </w:rPr>
        <w:t xml:space="preserve">Los Colegios tramitaron 5.234 quejas de ciudadanos, un 9% más que el año anterior. De estas, 3.681 fueron archivadas y solo 297 dieron lugar a expedientes sancionadores. </w:t>
      </w:r>
    </w:p>
    <w:p w14:paraId="5DD2A893" w14:textId="77777777" w:rsidR="00247C39" w:rsidRPr="00A03A1C" w:rsidRDefault="00247C39" w:rsidP="00247C39">
      <w:pPr>
        <w:spacing w:after="120"/>
        <w:jc w:val="both"/>
        <w:rPr>
          <w:rFonts w:eastAsia="Calibri" w:cstheme="minorHAnsi"/>
          <w:b/>
          <w:bCs/>
          <w:color w:val="4472C4" w:themeColor="accent1"/>
        </w:rPr>
      </w:pPr>
      <w:r w:rsidRPr="00A03A1C">
        <w:rPr>
          <w:rFonts w:eastAsia="Calibri" w:cstheme="minorHAnsi"/>
          <w:b/>
          <w:bCs/>
          <w:color w:val="4472C4" w:themeColor="accent1"/>
        </w:rPr>
        <w:t xml:space="preserve">Recomendaciones de los expertos </w:t>
      </w:r>
    </w:p>
    <w:p w14:paraId="759A0AF5" w14:textId="77777777" w:rsidR="00247C39" w:rsidRPr="00A03A1C" w:rsidRDefault="00247C39" w:rsidP="00247C39">
      <w:pPr>
        <w:spacing w:after="120"/>
        <w:jc w:val="both"/>
        <w:rPr>
          <w:rFonts w:eastAsia="Calibri" w:cstheme="minorHAnsi"/>
          <w:lang w:val="es-ES_tradnl"/>
        </w:rPr>
      </w:pPr>
      <w:r w:rsidRPr="00A03A1C">
        <w:rPr>
          <w:rFonts w:eastAsia="Calibri" w:cstheme="minorHAnsi"/>
          <w:bCs/>
          <w:lang w:val="es-ES_tradnl"/>
        </w:rPr>
        <w:t xml:space="preserve">Remunerar debidamente a los profesionales del Turno de Oficio, aumentando los baremos, pero también garantizando la retribución de todas las actuaciones letradas realizadas por imperativo legal. Reforzar la formación de los abogados que ofrecen el servicio. O crear guardias para atender a </w:t>
      </w:r>
      <w:r w:rsidRPr="00A03A1C">
        <w:rPr>
          <w:rFonts w:eastAsia="Calibri" w:cstheme="minorHAnsi"/>
          <w:lang w:val="es-ES_tradnl"/>
        </w:rPr>
        <w:t xml:space="preserve">presos, inmigrantes y solicitantes de asilo.  Estas son algunas de las recomendaciones del Comité de Expertos del Observatorio de la Justicia Gratuita Abogacía Española-Wolters </w:t>
      </w:r>
      <w:proofErr w:type="spellStart"/>
      <w:r w:rsidRPr="00A03A1C">
        <w:rPr>
          <w:rFonts w:eastAsia="Calibri" w:cstheme="minorHAnsi"/>
          <w:lang w:val="es-ES_tradnl"/>
        </w:rPr>
        <w:t>Kluwer</w:t>
      </w:r>
      <w:proofErr w:type="spellEnd"/>
      <w:r w:rsidRPr="00A03A1C">
        <w:rPr>
          <w:rFonts w:eastAsia="Calibri" w:cstheme="minorHAnsi"/>
          <w:lang w:val="es-ES_tradnl"/>
        </w:rPr>
        <w:t xml:space="preserve">. </w:t>
      </w:r>
    </w:p>
    <w:p w14:paraId="31A34700" w14:textId="77777777" w:rsidR="00247C39" w:rsidRPr="00A03A1C" w:rsidRDefault="00247C39" w:rsidP="00247C39">
      <w:pPr>
        <w:spacing w:after="120"/>
        <w:jc w:val="both"/>
        <w:rPr>
          <w:rFonts w:eastAsia="Calibri" w:cstheme="minorHAnsi"/>
          <w:color w:val="4472C4" w:themeColor="accent1"/>
        </w:rPr>
      </w:pPr>
      <w:r w:rsidRPr="00A03A1C">
        <w:rPr>
          <w:rFonts w:eastAsia="Calibri" w:cstheme="minorHAnsi"/>
          <w:b/>
          <w:bCs/>
          <w:color w:val="4472C4" w:themeColor="accent1"/>
        </w:rPr>
        <w:t xml:space="preserve">Sigue creciendo la satisfacción de los usuarios con el servicio </w:t>
      </w:r>
    </w:p>
    <w:p w14:paraId="5FE7975A" w14:textId="77777777" w:rsidR="00247C39" w:rsidRPr="00A03A1C" w:rsidRDefault="00247C39" w:rsidP="00247C39">
      <w:pPr>
        <w:spacing w:after="120"/>
        <w:jc w:val="both"/>
        <w:rPr>
          <w:rFonts w:cstheme="minorHAnsi"/>
        </w:rPr>
      </w:pPr>
      <w:r w:rsidRPr="00A03A1C">
        <w:rPr>
          <w:rFonts w:cstheme="minorHAnsi"/>
        </w:rPr>
        <w:t xml:space="preserve">El turno de oficio es bien conocido y muy bien evaluado por los españoles, según se desprende de los datos obtenidos de la encuesta entre ciudadanos y usuarios de la Justicia Gratuita realizada por </w:t>
      </w:r>
      <w:proofErr w:type="spellStart"/>
      <w:r w:rsidRPr="00A03A1C">
        <w:rPr>
          <w:rFonts w:cstheme="minorHAnsi"/>
        </w:rPr>
        <w:t>Metroscopia</w:t>
      </w:r>
      <w:proofErr w:type="spellEnd"/>
      <w:r w:rsidRPr="00A03A1C">
        <w:rPr>
          <w:rFonts w:cstheme="minorHAnsi"/>
        </w:rPr>
        <w:t xml:space="preserve"> para el XVI Observatorio de Justicia Gratuita.</w:t>
      </w:r>
    </w:p>
    <w:p w14:paraId="52A6350E" w14:textId="77777777" w:rsidR="00247C39" w:rsidRPr="00A03A1C" w:rsidRDefault="00247C39" w:rsidP="00247C39">
      <w:pPr>
        <w:spacing w:after="120"/>
        <w:jc w:val="both"/>
        <w:rPr>
          <w:rFonts w:eastAsia="Calibri" w:cstheme="minorHAnsi"/>
        </w:rPr>
      </w:pPr>
      <w:r w:rsidRPr="00A03A1C">
        <w:rPr>
          <w:rFonts w:eastAsia="Calibri" w:cstheme="minorHAnsi"/>
        </w:rPr>
        <w:t>La práctica totalidad de los españoles (98%) considera que quienes carezcan de recursos económicos tienen derecho a contar con la asistencia jurídica gratuita cuando la requieran. Y el índice de satisfacción con el servicio sigue creciendo</w:t>
      </w:r>
      <w:r w:rsidRPr="00A03A1C">
        <w:rPr>
          <w:rFonts w:eastAsia="Calibri" w:cstheme="minorHAnsi"/>
          <w:b/>
          <w:bCs/>
        </w:rPr>
        <w:t xml:space="preserve">: </w:t>
      </w:r>
      <w:r w:rsidRPr="00A03A1C">
        <w:rPr>
          <w:rFonts w:eastAsia="Calibri" w:cstheme="minorHAnsi"/>
        </w:rPr>
        <w:t>el 82% de los usuarios tiene una opinión positiva de la atención recibida. Sigue habiendo, sin embargo, todavía un 20% de españoles que desconocen que la Constitución reconoce a todas las personas sin recursos el derecho a contar de forma gratuita con la asistencia de un abogado cuando lo necesite.</w:t>
      </w:r>
    </w:p>
    <w:p w14:paraId="4D4E405D" w14:textId="77777777" w:rsidR="00247C39" w:rsidRPr="00A03A1C" w:rsidRDefault="00247C39" w:rsidP="00247C39">
      <w:pPr>
        <w:jc w:val="both"/>
        <w:rPr>
          <w:rFonts w:eastAsia="Calibri" w:cstheme="minorHAnsi"/>
          <w:b/>
          <w:color w:val="8496B0" w:themeColor="text2" w:themeTint="99"/>
        </w:rPr>
      </w:pPr>
      <w:r w:rsidRPr="00A03A1C">
        <w:rPr>
          <w:rFonts w:eastAsia="Calibri" w:cstheme="minorHAnsi"/>
          <w:b/>
          <w:color w:val="8496B0" w:themeColor="text2" w:themeTint="99"/>
        </w:rPr>
        <w:t>Consideraciones metodológicas</w:t>
      </w:r>
    </w:p>
    <w:p w14:paraId="4E08074D" w14:textId="77777777" w:rsidR="00247C39" w:rsidRPr="00A03A1C" w:rsidRDefault="00247C39" w:rsidP="00247C39">
      <w:pPr>
        <w:jc w:val="both"/>
        <w:rPr>
          <w:rFonts w:eastAsia="Calibri" w:cstheme="minorHAnsi"/>
          <w:i/>
        </w:rPr>
      </w:pPr>
      <w:r w:rsidRPr="00A03A1C">
        <w:rPr>
          <w:rFonts w:eastAsia="Calibri" w:cstheme="minorHAnsi"/>
          <w:i/>
        </w:rPr>
        <w:t xml:space="preserve">El XVI Informe del Observatorio de Justicia Gratuita Abogacía Española-Wolters </w:t>
      </w:r>
      <w:proofErr w:type="spellStart"/>
      <w:r w:rsidRPr="00A03A1C">
        <w:rPr>
          <w:rFonts w:eastAsia="Calibri" w:cstheme="minorHAnsi"/>
          <w:i/>
        </w:rPr>
        <w:t>Kluwer</w:t>
      </w:r>
      <w:proofErr w:type="spellEnd"/>
      <w:r w:rsidRPr="00A03A1C">
        <w:rPr>
          <w:rFonts w:eastAsia="Calibri" w:cstheme="minorHAnsi"/>
          <w:i/>
        </w:rPr>
        <w:t xml:space="preserve"> es el resultado del análisis de más de 7.500 datos aportados por los 83 Colegios de la Abogacía existentes en España.</w:t>
      </w:r>
    </w:p>
    <w:p w14:paraId="250CF4CF" w14:textId="77777777" w:rsidR="00247C39" w:rsidRPr="00A03A1C" w:rsidRDefault="00247C39" w:rsidP="00247C39">
      <w:pPr>
        <w:jc w:val="both"/>
        <w:rPr>
          <w:rFonts w:eastAsia="Calibri" w:cstheme="minorHAnsi"/>
          <w:i/>
        </w:rPr>
      </w:pPr>
      <w:r w:rsidRPr="00A03A1C">
        <w:rPr>
          <w:rFonts w:eastAsia="Calibri" w:cstheme="minorHAnsi"/>
          <w:i/>
        </w:rPr>
        <w:t xml:space="preserve">La presente edición se ha elaborado teniendo en cuenta el funcionamiento propio de cada comunidad autónoma, la incorporación de mejoras reflejada en la información comparativa de la evolución de importes certificados entre años, así como el cambio de baremos aplicado en algunas de las mismas. </w:t>
      </w:r>
    </w:p>
    <w:p w14:paraId="7D1868E3" w14:textId="77777777" w:rsidR="00247C39" w:rsidRPr="00A03A1C" w:rsidRDefault="00247C39" w:rsidP="00247C39">
      <w:pPr>
        <w:spacing w:after="0"/>
        <w:jc w:val="both"/>
        <w:rPr>
          <w:rFonts w:cstheme="minorHAnsi"/>
          <w:b/>
          <w:i/>
          <w:color w:val="0000FF"/>
          <w:sz w:val="20"/>
          <w:szCs w:val="20"/>
        </w:rPr>
      </w:pPr>
      <w:r w:rsidRPr="00A03A1C">
        <w:rPr>
          <w:rFonts w:cstheme="minorHAnsi"/>
          <w:b/>
          <w:i/>
          <w:color w:val="0000FF"/>
          <w:sz w:val="20"/>
          <w:szCs w:val="20"/>
        </w:rPr>
        <w:lastRenderedPageBreak/>
        <w:t>SOBRE EL CONSEJO GENERAL DE LA ABOGACÍA ESPAÑOLA</w:t>
      </w:r>
    </w:p>
    <w:p w14:paraId="2C7CB571" w14:textId="77777777" w:rsidR="00247C39" w:rsidRPr="00A03A1C" w:rsidRDefault="00247C39" w:rsidP="00247C39">
      <w:pPr>
        <w:spacing w:after="120"/>
        <w:jc w:val="both"/>
        <w:rPr>
          <w:rFonts w:cstheme="minorHAnsi"/>
          <w:i/>
          <w:spacing w:val="-10"/>
          <w:sz w:val="20"/>
          <w:szCs w:val="20"/>
        </w:rPr>
      </w:pPr>
      <w:bookmarkStart w:id="2" w:name="apartado1"/>
      <w:r w:rsidRPr="00A03A1C">
        <w:rPr>
          <w:rFonts w:cstheme="minorHAnsi"/>
          <w:i/>
          <w:spacing w:val="-10"/>
          <w:sz w:val="20"/>
          <w:szCs w:val="20"/>
        </w:rPr>
        <w:t xml:space="preserve">El Consejo General de la Abogacía Española es el órgano representativo, coordinador y ejecutivo superior de los Colegios de Abogados de España y es la institución responsable de ordenar el ejercicio profesional de los abogados y velar por el prestigio de la profesión. Existen 83 Colegios de Abogados en España y 10 Consejos Autonómicos. </w:t>
      </w:r>
    </w:p>
    <w:bookmarkEnd w:id="2"/>
    <w:p w14:paraId="474975F5" w14:textId="77777777" w:rsidR="00247C39" w:rsidRPr="00A03A1C" w:rsidRDefault="00247C39" w:rsidP="00247C39">
      <w:pPr>
        <w:spacing w:after="0"/>
        <w:jc w:val="both"/>
        <w:rPr>
          <w:rFonts w:cstheme="minorHAnsi"/>
          <w:b/>
          <w:i/>
          <w:color w:val="0000FF"/>
          <w:sz w:val="20"/>
          <w:szCs w:val="20"/>
        </w:rPr>
      </w:pPr>
      <w:r w:rsidRPr="00A03A1C">
        <w:rPr>
          <w:rFonts w:cstheme="minorHAnsi"/>
          <w:b/>
          <w:i/>
          <w:color w:val="0000FF"/>
          <w:sz w:val="20"/>
          <w:szCs w:val="20"/>
        </w:rPr>
        <w:t>SOBRE LA FUNDACIÓN WOLTERS KLUWER</w:t>
      </w:r>
    </w:p>
    <w:p w14:paraId="683F23E6" w14:textId="77777777" w:rsidR="00247C39" w:rsidRPr="00A03A1C" w:rsidRDefault="00247C39" w:rsidP="00247C39">
      <w:pPr>
        <w:spacing w:after="120"/>
        <w:jc w:val="both"/>
        <w:rPr>
          <w:rFonts w:cstheme="minorHAnsi"/>
          <w:i/>
          <w:iCs/>
          <w:spacing w:val="-10"/>
          <w:sz w:val="20"/>
          <w:szCs w:val="20"/>
        </w:rPr>
      </w:pPr>
      <w:r w:rsidRPr="00A03A1C">
        <w:rPr>
          <w:rFonts w:cstheme="minorHAnsi"/>
          <w:i/>
          <w:spacing w:val="-10"/>
          <w:sz w:val="20"/>
          <w:szCs w:val="20"/>
        </w:rPr>
        <w:t xml:space="preserve">La Fundación Wolters </w:t>
      </w:r>
      <w:proofErr w:type="spellStart"/>
      <w:r w:rsidRPr="00A03A1C">
        <w:rPr>
          <w:rFonts w:cstheme="minorHAnsi"/>
          <w:i/>
          <w:spacing w:val="-10"/>
          <w:sz w:val="20"/>
          <w:szCs w:val="20"/>
        </w:rPr>
        <w:t>Kluwer</w:t>
      </w:r>
      <w:proofErr w:type="spellEnd"/>
      <w:r w:rsidRPr="00A03A1C">
        <w:rPr>
          <w:rFonts w:cstheme="minorHAnsi"/>
          <w:i/>
          <w:spacing w:val="-10"/>
          <w:sz w:val="20"/>
          <w:szCs w:val="20"/>
        </w:rPr>
        <w:t xml:space="preserve"> es una entidad sin ánimo de lucro creada en 2007 con el fin de articular la acción social de Wolters </w:t>
      </w:r>
      <w:proofErr w:type="spellStart"/>
      <w:r w:rsidRPr="00A03A1C">
        <w:rPr>
          <w:rFonts w:cstheme="minorHAnsi"/>
          <w:i/>
          <w:spacing w:val="-10"/>
          <w:sz w:val="20"/>
          <w:szCs w:val="20"/>
        </w:rPr>
        <w:t>Kluwer</w:t>
      </w:r>
      <w:proofErr w:type="spellEnd"/>
      <w:r w:rsidRPr="00A03A1C">
        <w:rPr>
          <w:rFonts w:cstheme="minorHAnsi"/>
          <w:i/>
          <w:spacing w:val="-10"/>
          <w:sz w:val="20"/>
          <w:szCs w:val="20"/>
        </w:rPr>
        <w:t xml:space="preserve"> en España a través de diferentes programas para promover la innovación y la mejora de la justicia, la educación y el medio ambiente.  Wolters </w:t>
      </w:r>
      <w:proofErr w:type="spellStart"/>
      <w:r w:rsidRPr="00A03A1C">
        <w:rPr>
          <w:rFonts w:cstheme="minorHAnsi"/>
          <w:i/>
          <w:spacing w:val="-10"/>
          <w:sz w:val="20"/>
          <w:szCs w:val="20"/>
        </w:rPr>
        <w:t>Kluwer</w:t>
      </w:r>
      <w:proofErr w:type="spellEnd"/>
      <w:r w:rsidRPr="00A03A1C">
        <w:rPr>
          <w:rFonts w:cstheme="minorHAnsi"/>
          <w:i/>
          <w:spacing w:val="-10"/>
          <w:sz w:val="20"/>
          <w:szCs w:val="20"/>
        </w:rPr>
        <w:t xml:space="preserve"> es una compañía global líder en el mercado de soluciones de gestión y servicios de información, formación y software para los profesionales del Derecho, la Administración Pública, la Asesoría, la Empresa, la Salud y la Educación. </w:t>
      </w:r>
    </w:p>
    <w:tbl>
      <w:tblPr>
        <w:tblStyle w:val="Tablaconcuadrcu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247"/>
        <w:gridCol w:w="4247"/>
      </w:tblGrid>
      <w:tr w:rsidR="00247C39" w:rsidRPr="00A03A1C" w14:paraId="1538D5B0" w14:textId="77777777" w:rsidTr="00A727D7">
        <w:tc>
          <w:tcPr>
            <w:tcW w:w="8494" w:type="dxa"/>
            <w:gridSpan w:val="2"/>
            <w:tcBorders>
              <w:top w:val="single" w:sz="4" w:space="0" w:color="auto"/>
              <w:left w:val="single" w:sz="4" w:space="0" w:color="auto"/>
            </w:tcBorders>
          </w:tcPr>
          <w:p w14:paraId="59511DF9" w14:textId="77777777" w:rsidR="00247C39" w:rsidRPr="00A03A1C" w:rsidRDefault="00247C39" w:rsidP="00A727D7">
            <w:pPr>
              <w:spacing w:after="0" w:line="240" w:lineRule="auto"/>
              <w:jc w:val="both"/>
              <w:rPr>
                <w:rFonts w:cstheme="minorHAnsi"/>
                <w:b/>
              </w:rPr>
            </w:pPr>
            <w:r w:rsidRPr="00A03A1C">
              <w:rPr>
                <w:rFonts w:cstheme="minorHAnsi"/>
                <w:b/>
              </w:rPr>
              <w:t>Para más información:</w:t>
            </w:r>
          </w:p>
          <w:p w14:paraId="17F7B71F" w14:textId="77777777" w:rsidR="00247C39" w:rsidRPr="00A03A1C" w:rsidRDefault="00247C39" w:rsidP="00A727D7">
            <w:pPr>
              <w:spacing w:after="0" w:line="240" w:lineRule="auto"/>
              <w:jc w:val="both"/>
              <w:rPr>
                <w:rFonts w:cstheme="minorHAnsi"/>
                <w:b/>
              </w:rPr>
            </w:pPr>
          </w:p>
        </w:tc>
      </w:tr>
      <w:tr w:rsidR="00247C39" w:rsidRPr="00A03A1C" w14:paraId="6AEF3F7A" w14:textId="77777777" w:rsidTr="00A727D7">
        <w:tc>
          <w:tcPr>
            <w:tcW w:w="4247" w:type="dxa"/>
          </w:tcPr>
          <w:p w14:paraId="406A87F8" w14:textId="77777777" w:rsidR="00247C39" w:rsidRPr="00A03A1C" w:rsidRDefault="00247C39" w:rsidP="00A727D7">
            <w:pPr>
              <w:spacing w:after="0" w:line="240" w:lineRule="auto"/>
              <w:jc w:val="both"/>
              <w:rPr>
                <w:rFonts w:cstheme="minorHAnsi"/>
                <w:b/>
              </w:rPr>
            </w:pPr>
            <w:r w:rsidRPr="00A03A1C">
              <w:rPr>
                <w:rFonts w:cstheme="minorHAnsi"/>
                <w:b/>
              </w:rPr>
              <w:t>Consejo General de la Abogacía Española</w:t>
            </w:r>
          </w:p>
          <w:p w14:paraId="51EF166D" w14:textId="77777777" w:rsidR="00247C39" w:rsidRPr="00A03A1C" w:rsidRDefault="00247C39" w:rsidP="00A727D7">
            <w:pPr>
              <w:spacing w:after="0" w:line="240" w:lineRule="auto"/>
              <w:jc w:val="both"/>
              <w:rPr>
                <w:rFonts w:cstheme="minorHAnsi"/>
                <w:bCs/>
                <w:sz w:val="20"/>
                <w:szCs w:val="20"/>
              </w:rPr>
            </w:pPr>
            <w:r w:rsidRPr="00A03A1C">
              <w:rPr>
                <w:rFonts w:cstheme="minorHAnsi"/>
                <w:bCs/>
                <w:sz w:val="20"/>
                <w:szCs w:val="20"/>
              </w:rPr>
              <w:t>Departamento de Comunicación y Marketing</w:t>
            </w:r>
          </w:p>
          <w:p w14:paraId="5C3C2B90" w14:textId="77777777" w:rsidR="00247C39" w:rsidRPr="00A03A1C" w:rsidRDefault="00247C39" w:rsidP="00A727D7">
            <w:pPr>
              <w:spacing w:after="0" w:line="240" w:lineRule="auto"/>
              <w:jc w:val="both"/>
              <w:rPr>
                <w:rFonts w:cstheme="minorHAnsi"/>
                <w:bCs/>
                <w:sz w:val="20"/>
                <w:szCs w:val="20"/>
              </w:rPr>
            </w:pPr>
            <w:r w:rsidRPr="00A03A1C">
              <w:rPr>
                <w:rFonts w:cstheme="minorHAnsi"/>
                <w:bCs/>
                <w:sz w:val="20"/>
                <w:szCs w:val="20"/>
              </w:rPr>
              <w:t>Tlf.: 91 523 25 93</w:t>
            </w:r>
          </w:p>
          <w:p w14:paraId="0B601699" w14:textId="77777777" w:rsidR="00247C39" w:rsidRPr="00A03A1C" w:rsidRDefault="0080202E" w:rsidP="00A727D7">
            <w:pPr>
              <w:spacing w:after="0" w:line="240" w:lineRule="auto"/>
              <w:jc w:val="both"/>
              <w:rPr>
                <w:rFonts w:cstheme="minorHAnsi"/>
                <w:b/>
              </w:rPr>
            </w:pPr>
            <w:hyperlink r:id="rId7" w:history="1">
              <w:r w:rsidR="00247C39" w:rsidRPr="00A03A1C">
                <w:rPr>
                  <w:rStyle w:val="Hipervnculo"/>
                  <w:rFonts w:cstheme="minorHAnsi"/>
                  <w:bCs/>
                  <w:sz w:val="20"/>
                  <w:szCs w:val="20"/>
                </w:rPr>
                <w:t>prensa@abogacia.es</w:t>
              </w:r>
            </w:hyperlink>
            <w:r w:rsidR="00247C39" w:rsidRPr="00A03A1C">
              <w:rPr>
                <w:rFonts w:cstheme="minorHAnsi"/>
                <w:b/>
              </w:rPr>
              <w:t xml:space="preserve"> </w:t>
            </w:r>
          </w:p>
        </w:tc>
        <w:tc>
          <w:tcPr>
            <w:tcW w:w="4247" w:type="dxa"/>
            <w:tcBorders>
              <w:bottom w:val="single" w:sz="4" w:space="0" w:color="auto"/>
              <w:right w:val="single" w:sz="4" w:space="0" w:color="auto"/>
            </w:tcBorders>
          </w:tcPr>
          <w:p w14:paraId="004F928D" w14:textId="77777777" w:rsidR="00247C39" w:rsidRPr="004E1628" w:rsidRDefault="00247C39" w:rsidP="00A727D7">
            <w:pPr>
              <w:spacing w:after="0" w:line="240" w:lineRule="auto"/>
              <w:jc w:val="both"/>
              <w:rPr>
                <w:rFonts w:cstheme="minorHAnsi"/>
                <w:b/>
                <w:lang w:val="en-US"/>
              </w:rPr>
            </w:pPr>
            <w:r w:rsidRPr="004E1628">
              <w:rPr>
                <w:rFonts w:cstheme="minorHAnsi"/>
                <w:b/>
                <w:lang w:val="en-US"/>
              </w:rPr>
              <w:t>Wolters Kluwer</w:t>
            </w:r>
          </w:p>
          <w:p w14:paraId="07B5C9B9" w14:textId="77777777" w:rsidR="00247C39" w:rsidRPr="004E1628" w:rsidRDefault="00247C39" w:rsidP="00A727D7">
            <w:pPr>
              <w:spacing w:after="0" w:line="240" w:lineRule="auto"/>
              <w:jc w:val="both"/>
              <w:rPr>
                <w:rFonts w:cstheme="minorHAnsi"/>
                <w:bCs/>
                <w:sz w:val="20"/>
                <w:szCs w:val="20"/>
                <w:lang w:val="en-US"/>
              </w:rPr>
            </w:pPr>
            <w:r w:rsidRPr="004E1628">
              <w:rPr>
                <w:rFonts w:cstheme="minorHAnsi"/>
                <w:bCs/>
                <w:sz w:val="20"/>
                <w:szCs w:val="20"/>
                <w:lang w:val="en-US"/>
              </w:rPr>
              <w:t>Manuel Hernández Urquijo</w:t>
            </w:r>
          </w:p>
          <w:p w14:paraId="10604EA7" w14:textId="046B1F77" w:rsidR="0080202E" w:rsidRDefault="00247C39" w:rsidP="0080202E">
            <w:pPr>
              <w:spacing w:after="0" w:line="240" w:lineRule="auto"/>
              <w:rPr>
                <w:rFonts w:ascii="Calibri" w:eastAsia="Times New Roman" w:hAnsi="Calibri" w:cs="Arial"/>
                <w:bCs/>
                <w:sz w:val="20"/>
                <w:szCs w:val="20"/>
                <w:lang w:val="en-US" w:eastAsia="es-ES"/>
              </w:rPr>
            </w:pPr>
            <w:proofErr w:type="spellStart"/>
            <w:r w:rsidRPr="004E1628">
              <w:rPr>
                <w:rFonts w:cstheme="minorHAnsi"/>
                <w:bCs/>
                <w:sz w:val="20"/>
                <w:szCs w:val="20"/>
                <w:lang w:val="en-US"/>
              </w:rPr>
              <w:t>Tlf</w:t>
            </w:r>
            <w:proofErr w:type="spellEnd"/>
            <w:r w:rsidRPr="004E1628">
              <w:rPr>
                <w:rFonts w:cstheme="minorHAnsi"/>
                <w:bCs/>
                <w:sz w:val="20"/>
                <w:szCs w:val="20"/>
                <w:lang w:val="en-US"/>
              </w:rPr>
              <w:t xml:space="preserve">.: </w:t>
            </w:r>
            <w:r w:rsidR="0080202E">
              <w:rPr>
                <w:rFonts w:ascii="Calibri" w:eastAsia="Times New Roman" w:hAnsi="Calibri" w:cs="Arial"/>
                <w:bCs/>
                <w:sz w:val="20"/>
                <w:szCs w:val="20"/>
                <w:lang w:val="en-US" w:eastAsia="es-ES"/>
              </w:rPr>
              <w:t>636 70 71 56</w:t>
            </w:r>
          </w:p>
          <w:p w14:paraId="3293CB69" w14:textId="77777777" w:rsidR="00247C39" w:rsidRPr="00A03A1C" w:rsidRDefault="0080202E" w:rsidP="00A727D7">
            <w:pPr>
              <w:spacing w:after="0" w:line="240" w:lineRule="auto"/>
              <w:jc w:val="both"/>
              <w:rPr>
                <w:rFonts w:cstheme="minorHAnsi"/>
                <w:b/>
              </w:rPr>
            </w:pPr>
            <w:hyperlink r:id="rId8" w:history="1">
              <w:r w:rsidR="00247C39" w:rsidRPr="00A03A1C">
                <w:rPr>
                  <w:rStyle w:val="Hipervnculo"/>
                  <w:rFonts w:cstheme="minorHAnsi"/>
                  <w:bCs/>
                  <w:sz w:val="20"/>
                  <w:szCs w:val="20"/>
                </w:rPr>
                <w:t>manuel.hernandez@wolterskluwer.com</w:t>
              </w:r>
            </w:hyperlink>
            <w:r w:rsidR="00247C39" w:rsidRPr="00A03A1C">
              <w:rPr>
                <w:rFonts w:cstheme="minorHAnsi"/>
                <w:b/>
                <w:sz w:val="20"/>
                <w:szCs w:val="20"/>
              </w:rPr>
              <w:t xml:space="preserve"> </w:t>
            </w:r>
          </w:p>
        </w:tc>
      </w:tr>
    </w:tbl>
    <w:p w14:paraId="77631E55" w14:textId="77777777" w:rsidR="00247C39" w:rsidRPr="00A03A1C" w:rsidRDefault="00247C39" w:rsidP="00247C39">
      <w:pPr>
        <w:spacing w:after="0" w:line="240" w:lineRule="auto"/>
        <w:jc w:val="both"/>
        <w:rPr>
          <w:rFonts w:cstheme="minorHAnsi"/>
          <w:b/>
          <w:bCs/>
        </w:rPr>
      </w:pPr>
    </w:p>
    <w:p w14:paraId="79DD0AA5" w14:textId="77777777" w:rsidR="003D3F8F" w:rsidRDefault="003D3F8F" w:rsidP="003D3F8F">
      <w:pPr>
        <w:spacing w:after="0" w:line="360" w:lineRule="auto"/>
        <w:jc w:val="both"/>
        <w:rPr>
          <w:rFonts w:ascii="Calibri" w:eastAsia="Calibri" w:hAnsi="Calibri" w:cs="Calibri"/>
        </w:rPr>
      </w:pPr>
    </w:p>
    <w:p w14:paraId="2FEE60A4" w14:textId="77777777" w:rsidR="003D3F8F" w:rsidRDefault="003D3F8F" w:rsidP="003D3F8F">
      <w:pPr>
        <w:spacing w:after="0" w:line="360" w:lineRule="auto"/>
        <w:jc w:val="both"/>
        <w:rPr>
          <w:rFonts w:ascii="Calibri" w:eastAsia="Calibri" w:hAnsi="Calibri" w:cs="Calibri"/>
        </w:rPr>
      </w:pPr>
    </w:p>
    <w:p w14:paraId="66FE416D" w14:textId="77777777" w:rsidR="003D3F8F" w:rsidRDefault="003D3F8F" w:rsidP="003D3F8F"/>
    <w:sectPr w:rsidR="003D3F8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040D" w14:textId="77777777" w:rsidR="007F5EA8" w:rsidRDefault="00930AF8">
      <w:pPr>
        <w:spacing w:after="0" w:line="240" w:lineRule="auto"/>
      </w:pPr>
      <w:r>
        <w:separator/>
      </w:r>
    </w:p>
  </w:endnote>
  <w:endnote w:type="continuationSeparator" w:id="0">
    <w:p w14:paraId="79164B4B" w14:textId="77777777" w:rsidR="007F5EA8" w:rsidRDefault="0093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98776"/>
      <w:docPartObj>
        <w:docPartGallery w:val="Page Numbers (Bottom of Page)"/>
        <w:docPartUnique/>
      </w:docPartObj>
    </w:sdtPr>
    <w:sdtEndPr/>
    <w:sdtContent>
      <w:p w14:paraId="513550BD" w14:textId="77777777" w:rsidR="002A65DB" w:rsidRDefault="000648F6">
        <w:pPr>
          <w:pStyle w:val="Piedepgina"/>
          <w:jc w:val="center"/>
        </w:pPr>
        <w:r>
          <w:fldChar w:fldCharType="begin"/>
        </w:r>
        <w:r>
          <w:instrText>PAGE   \* MERGEFORMAT</w:instrText>
        </w:r>
        <w:r>
          <w:fldChar w:fldCharType="separate"/>
        </w:r>
        <w:r w:rsidR="00703D2D">
          <w:rPr>
            <w:noProof/>
          </w:rPr>
          <w:t>5</w:t>
        </w:r>
        <w:r>
          <w:fldChar w:fldCharType="end"/>
        </w:r>
      </w:p>
    </w:sdtContent>
  </w:sdt>
  <w:p w14:paraId="05674A4A" w14:textId="77777777" w:rsidR="002A65DB" w:rsidRDefault="008020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C34B" w14:textId="77777777" w:rsidR="007F5EA8" w:rsidRDefault="00930AF8">
      <w:pPr>
        <w:spacing w:after="0" w:line="240" w:lineRule="auto"/>
      </w:pPr>
      <w:r>
        <w:separator/>
      </w:r>
    </w:p>
  </w:footnote>
  <w:footnote w:type="continuationSeparator" w:id="0">
    <w:p w14:paraId="72FA5C34" w14:textId="77777777" w:rsidR="007F5EA8" w:rsidRDefault="00930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4A84" w14:textId="54DE4523" w:rsidR="00723B9B" w:rsidRPr="00723B9B" w:rsidRDefault="004E1628" w:rsidP="00723B9B">
    <w:pPr>
      <w:pStyle w:val="Encabezado"/>
    </w:pPr>
    <w:r>
      <w:rPr>
        <w:noProof/>
      </w:rPr>
      <w:drawing>
        <wp:inline distT="0" distB="0" distL="0" distR="0" wp14:anchorId="6E0F444D" wp14:editId="674BC220">
          <wp:extent cx="6005755" cy="10388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017927" cy="10409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86281"/>
    <w:multiLevelType w:val="hybridMultilevel"/>
    <w:tmpl w:val="7C36B484"/>
    <w:lvl w:ilvl="0" w:tplc="9F2E5830">
      <w:start w:val="1"/>
      <w:numFmt w:val="bullet"/>
      <w:lvlText w:val="•"/>
      <w:lvlJc w:val="left"/>
      <w:pPr>
        <w:tabs>
          <w:tab w:val="num" w:pos="720"/>
        </w:tabs>
        <w:ind w:left="720" w:hanging="360"/>
      </w:pPr>
      <w:rPr>
        <w:rFonts w:ascii="Arial" w:hAnsi="Arial" w:cs="Times New Roman" w:hint="default"/>
      </w:rPr>
    </w:lvl>
    <w:lvl w:ilvl="1" w:tplc="932208CE">
      <w:start w:val="1"/>
      <w:numFmt w:val="bullet"/>
      <w:lvlText w:val="•"/>
      <w:lvlJc w:val="left"/>
      <w:pPr>
        <w:tabs>
          <w:tab w:val="num" w:pos="1440"/>
        </w:tabs>
        <w:ind w:left="1440" w:hanging="360"/>
      </w:pPr>
      <w:rPr>
        <w:rFonts w:ascii="Arial" w:hAnsi="Arial" w:cs="Times New Roman" w:hint="default"/>
      </w:rPr>
    </w:lvl>
    <w:lvl w:ilvl="2" w:tplc="4AC83E3A">
      <w:start w:val="1"/>
      <w:numFmt w:val="bullet"/>
      <w:lvlText w:val="•"/>
      <w:lvlJc w:val="left"/>
      <w:pPr>
        <w:tabs>
          <w:tab w:val="num" w:pos="2160"/>
        </w:tabs>
        <w:ind w:left="2160" w:hanging="360"/>
      </w:pPr>
      <w:rPr>
        <w:rFonts w:ascii="Arial" w:hAnsi="Arial" w:cs="Times New Roman" w:hint="default"/>
      </w:rPr>
    </w:lvl>
    <w:lvl w:ilvl="3" w:tplc="821606DC">
      <w:start w:val="1"/>
      <w:numFmt w:val="bullet"/>
      <w:lvlText w:val="•"/>
      <w:lvlJc w:val="left"/>
      <w:pPr>
        <w:tabs>
          <w:tab w:val="num" w:pos="2880"/>
        </w:tabs>
        <w:ind w:left="2880" w:hanging="360"/>
      </w:pPr>
      <w:rPr>
        <w:rFonts w:ascii="Arial" w:hAnsi="Arial" w:cs="Times New Roman" w:hint="default"/>
      </w:rPr>
    </w:lvl>
    <w:lvl w:ilvl="4" w:tplc="9110BD7A">
      <w:start w:val="1"/>
      <w:numFmt w:val="bullet"/>
      <w:lvlText w:val="•"/>
      <w:lvlJc w:val="left"/>
      <w:pPr>
        <w:tabs>
          <w:tab w:val="num" w:pos="3600"/>
        </w:tabs>
        <w:ind w:left="3600" w:hanging="360"/>
      </w:pPr>
      <w:rPr>
        <w:rFonts w:ascii="Arial" w:hAnsi="Arial" w:cs="Times New Roman" w:hint="default"/>
      </w:rPr>
    </w:lvl>
    <w:lvl w:ilvl="5" w:tplc="842059A2">
      <w:start w:val="1"/>
      <w:numFmt w:val="bullet"/>
      <w:lvlText w:val="•"/>
      <w:lvlJc w:val="left"/>
      <w:pPr>
        <w:tabs>
          <w:tab w:val="num" w:pos="4320"/>
        </w:tabs>
        <w:ind w:left="4320" w:hanging="360"/>
      </w:pPr>
      <w:rPr>
        <w:rFonts w:ascii="Arial" w:hAnsi="Arial" w:cs="Times New Roman" w:hint="default"/>
      </w:rPr>
    </w:lvl>
    <w:lvl w:ilvl="6" w:tplc="F4DADF68">
      <w:start w:val="1"/>
      <w:numFmt w:val="bullet"/>
      <w:lvlText w:val="•"/>
      <w:lvlJc w:val="left"/>
      <w:pPr>
        <w:tabs>
          <w:tab w:val="num" w:pos="5040"/>
        </w:tabs>
        <w:ind w:left="5040" w:hanging="360"/>
      </w:pPr>
      <w:rPr>
        <w:rFonts w:ascii="Arial" w:hAnsi="Arial" w:cs="Times New Roman" w:hint="default"/>
      </w:rPr>
    </w:lvl>
    <w:lvl w:ilvl="7" w:tplc="20907F34">
      <w:start w:val="1"/>
      <w:numFmt w:val="bullet"/>
      <w:lvlText w:val="•"/>
      <w:lvlJc w:val="left"/>
      <w:pPr>
        <w:tabs>
          <w:tab w:val="num" w:pos="5760"/>
        </w:tabs>
        <w:ind w:left="5760" w:hanging="360"/>
      </w:pPr>
      <w:rPr>
        <w:rFonts w:ascii="Arial" w:hAnsi="Arial" w:cs="Times New Roman" w:hint="default"/>
      </w:rPr>
    </w:lvl>
    <w:lvl w:ilvl="8" w:tplc="664E2DCA">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40B51D67"/>
    <w:multiLevelType w:val="hybridMultilevel"/>
    <w:tmpl w:val="0F78AEC2"/>
    <w:lvl w:ilvl="0" w:tplc="BC0A802C">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4E0A1A"/>
    <w:multiLevelType w:val="hybridMultilevel"/>
    <w:tmpl w:val="4EDCC6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067806485">
    <w:abstractNumId w:val="1"/>
  </w:num>
  <w:num w:numId="2" w16cid:durableId="816730461">
    <w:abstractNumId w:val="0"/>
  </w:num>
  <w:num w:numId="3" w16cid:durableId="10112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00E"/>
    <w:rsid w:val="00001D48"/>
    <w:rsid w:val="000242E7"/>
    <w:rsid w:val="00046CBC"/>
    <w:rsid w:val="000648F6"/>
    <w:rsid w:val="000B7EA5"/>
    <w:rsid w:val="000D68F4"/>
    <w:rsid w:val="001D0899"/>
    <w:rsid w:val="001D52BD"/>
    <w:rsid w:val="001E5DAF"/>
    <w:rsid w:val="00221FC1"/>
    <w:rsid w:val="00247C39"/>
    <w:rsid w:val="002E56F8"/>
    <w:rsid w:val="00345A1C"/>
    <w:rsid w:val="00351FE4"/>
    <w:rsid w:val="0037582D"/>
    <w:rsid w:val="00376FE1"/>
    <w:rsid w:val="003C4284"/>
    <w:rsid w:val="003D3F8F"/>
    <w:rsid w:val="003D7626"/>
    <w:rsid w:val="00440D62"/>
    <w:rsid w:val="004527E9"/>
    <w:rsid w:val="004627F1"/>
    <w:rsid w:val="0049262B"/>
    <w:rsid w:val="004D5AEA"/>
    <w:rsid w:val="004E1628"/>
    <w:rsid w:val="00590BD7"/>
    <w:rsid w:val="0059235B"/>
    <w:rsid w:val="005B7E4C"/>
    <w:rsid w:val="005D6869"/>
    <w:rsid w:val="005E0171"/>
    <w:rsid w:val="005F1166"/>
    <w:rsid w:val="006759E4"/>
    <w:rsid w:val="00680A63"/>
    <w:rsid w:val="00703D2D"/>
    <w:rsid w:val="00723B9B"/>
    <w:rsid w:val="007675BB"/>
    <w:rsid w:val="00774B1C"/>
    <w:rsid w:val="007F5EA8"/>
    <w:rsid w:val="0080202E"/>
    <w:rsid w:val="00881D73"/>
    <w:rsid w:val="008964AD"/>
    <w:rsid w:val="009228AE"/>
    <w:rsid w:val="00930AF8"/>
    <w:rsid w:val="00950E91"/>
    <w:rsid w:val="009936A4"/>
    <w:rsid w:val="009D7EA3"/>
    <w:rsid w:val="009F4DB2"/>
    <w:rsid w:val="00A23A46"/>
    <w:rsid w:val="00A52B81"/>
    <w:rsid w:val="00A9673B"/>
    <w:rsid w:val="00AC4596"/>
    <w:rsid w:val="00AF3E34"/>
    <w:rsid w:val="00B377A6"/>
    <w:rsid w:val="00BA1468"/>
    <w:rsid w:val="00C9689C"/>
    <w:rsid w:val="00CE5868"/>
    <w:rsid w:val="00D110C3"/>
    <w:rsid w:val="00D340B4"/>
    <w:rsid w:val="00D4100E"/>
    <w:rsid w:val="00D4528B"/>
    <w:rsid w:val="00D74BDC"/>
    <w:rsid w:val="00E67E7D"/>
    <w:rsid w:val="00EA63CA"/>
    <w:rsid w:val="00EC3FFC"/>
    <w:rsid w:val="00EF3AC6"/>
    <w:rsid w:val="00F315FE"/>
    <w:rsid w:val="00F929EB"/>
    <w:rsid w:val="00F9766D"/>
    <w:rsid w:val="00FD7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D4FC27"/>
  <w15:docId w15:val="{51D614D9-6CC9-4C27-A689-D464F201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0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100E"/>
    <w:pPr>
      <w:ind w:left="720"/>
      <w:contextualSpacing/>
    </w:pPr>
  </w:style>
  <w:style w:type="paragraph" w:styleId="Piedepgina">
    <w:name w:val="footer"/>
    <w:basedOn w:val="Normal"/>
    <w:link w:val="PiedepginaCar"/>
    <w:uiPriority w:val="99"/>
    <w:unhideWhenUsed/>
    <w:rsid w:val="00D410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00E"/>
  </w:style>
  <w:style w:type="paragraph" w:styleId="NormalWeb">
    <w:name w:val="Normal (Web)"/>
    <w:basedOn w:val="Normal"/>
    <w:uiPriority w:val="99"/>
    <w:semiHidden/>
    <w:unhideWhenUsed/>
    <w:rsid w:val="000648F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315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5FE"/>
    <w:rPr>
      <w:rFonts w:ascii="Tahoma" w:hAnsi="Tahoma" w:cs="Tahoma"/>
      <w:sz w:val="16"/>
      <w:szCs w:val="16"/>
    </w:rPr>
  </w:style>
  <w:style w:type="paragraph" w:styleId="Encabezado">
    <w:name w:val="header"/>
    <w:basedOn w:val="Normal"/>
    <w:link w:val="EncabezadoCar"/>
    <w:unhideWhenUsed/>
    <w:rsid w:val="00723B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3B9B"/>
  </w:style>
  <w:style w:type="character" w:customStyle="1" w:styleId="eacep1">
    <w:name w:val="eacep1"/>
    <w:rsid w:val="00723B9B"/>
    <w:rPr>
      <w:color w:val="000000"/>
    </w:rPr>
  </w:style>
  <w:style w:type="character" w:styleId="Hipervnculo">
    <w:name w:val="Hyperlink"/>
    <w:basedOn w:val="Fuentedeprrafopredeter"/>
    <w:unhideWhenUsed/>
    <w:rsid w:val="00703D2D"/>
    <w:rPr>
      <w:color w:val="0000FF"/>
      <w:u w:val="single"/>
    </w:rPr>
  </w:style>
  <w:style w:type="table" w:styleId="Tablaconcuadrcula">
    <w:name w:val="Table Grid"/>
    <w:basedOn w:val="Tablanormal"/>
    <w:uiPriority w:val="39"/>
    <w:rsid w:val="0024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6">
      <w:bodyDiv w:val="1"/>
      <w:marLeft w:val="0"/>
      <w:marRight w:val="0"/>
      <w:marTop w:val="0"/>
      <w:marBottom w:val="0"/>
      <w:divBdr>
        <w:top w:val="none" w:sz="0" w:space="0" w:color="auto"/>
        <w:left w:val="none" w:sz="0" w:space="0" w:color="auto"/>
        <w:bottom w:val="none" w:sz="0" w:space="0" w:color="auto"/>
        <w:right w:val="none" w:sz="0" w:space="0" w:color="auto"/>
      </w:divBdr>
    </w:div>
    <w:div w:id="351297002">
      <w:bodyDiv w:val="1"/>
      <w:marLeft w:val="0"/>
      <w:marRight w:val="0"/>
      <w:marTop w:val="0"/>
      <w:marBottom w:val="0"/>
      <w:divBdr>
        <w:top w:val="none" w:sz="0" w:space="0" w:color="auto"/>
        <w:left w:val="none" w:sz="0" w:space="0" w:color="auto"/>
        <w:bottom w:val="none" w:sz="0" w:space="0" w:color="auto"/>
        <w:right w:val="none" w:sz="0" w:space="0" w:color="auto"/>
      </w:divBdr>
    </w:div>
    <w:div w:id="359667116">
      <w:bodyDiv w:val="1"/>
      <w:marLeft w:val="0"/>
      <w:marRight w:val="0"/>
      <w:marTop w:val="0"/>
      <w:marBottom w:val="0"/>
      <w:divBdr>
        <w:top w:val="none" w:sz="0" w:space="0" w:color="auto"/>
        <w:left w:val="none" w:sz="0" w:space="0" w:color="auto"/>
        <w:bottom w:val="none" w:sz="0" w:space="0" w:color="auto"/>
        <w:right w:val="none" w:sz="0" w:space="0" w:color="auto"/>
      </w:divBdr>
    </w:div>
    <w:div w:id="899292385">
      <w:bodyDiv w:val="1"/>
      <w:marLeft w:val="0"/>
      <w:marRight w:val="0"/>
      <w:marTop w:val="0"/>
      <w:marBottom w:val="0"/>
      <w:divBdr>
        <w:top w:val="none" w:sz="0" w:space="0" w:color="auto"/>
        <w:left w:val="none" w:sz="0" w:space="0" w:color="auto"/>
        <w:bottom w:val="none" w:sz="0" w:space="0" w:color="auto"/>
        <w:right w:val="none" w:sz="0" w:space="0" w:color="auto"/>
      </w:divBdr>
    </w:div>
    <w:div w:id="928269610">
      <w:bodyDiv w:val="1"/>
      <w:marLeft w:val="0"/>
      <w:marRight w:val="0"/>
      <w:marTop w:val="0"/>
      <w:marBottom w:val="0"/>
      <w:divBdr>
        <w:top w:val="none" w:sz="0" w:space="0" w:color="auto"/>
        <w:left w:val="none" w:sz="0" w:space="0" w:color="auto"/>
        <w:bottom w:val="none" w:sz="0" w:space="0" w:color="auto"/>
        <w:right w:val="none" w:sz="0" w:space="0" w:color="auto"/>
      </w:divBdr>
    </w:div>
    <w:div w:id="1433473477">
      <w:bodyDiv w:val="1"/>
      <w:marLeft w:val="0"/>
      <w:marRight w:val="0"/>
      <w:marTop w:val="0"/>
      <w:marBottom w:val="0"/>
      <w:divBdr>
        <w:top w:val="none" w:sz="0" w:space="0" w:color="auto"/>
        <w:left w:val="none" w:sz="0" w:space="0" w:color="auto"/>
        <w:bottom w:val="none" w:sz="0" w:space="0" w:color="auto"/>
        <w:right w:val="none" w:sz="0" w:space="0" w:color="auto"/>
      </w:divBdr>
    </w:div>
    <w:div w:id="1554344139">
      <w:bodyDiv w:val="1"/>
      <w:marLeft w:val="0"/>
      <w:marRight w:val="0"/>
      <w:marTop w:val="0"/>
      <w:marBottom w:val="0"/>
      <w:divBdr>
        <w:top w:val="none" w:sz="0" w:space="0" w:color="auto"/>
        <w:left w:val="none" w:sz="0" w:space="0" w:color="auto"/>
        <w:bottom w:val="none" w:sz="0" w:space="0" w:color="auto"/>
        <w:right w:val="none" w:sz="0" w:space="0" w:color="auto"/>
      </w:divBdr>
    </w:div>
    <w:div w:id="15903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hernandez@wolterskluwer.com" TargetMode="External"/><Relationship Id="rId3" Type="http://schemas.openxmlformats.org/officeDocument/2006/relationships/settings" Target="settings.xml"/><Relationship Id="rId7" Type="http://schemas.openxmlformats.org/officeDocument/2006/relationships/hyperlink" Target="mailto:prensa@abogaci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1413</Words>
  <Characters>7777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García - Zarza Martínez</dc:creator>
  <cp:lastModifiedBy>Isabel García - Zarza Martínez</cp:lastModifiedBy>
  <cp:revision>6</cp:revision>
  <cp:lastPrinted>2021-06-22T12:02:00Z</cp:lastPrinted>
  <dcterms:created xsi:type="dcterms:W3CDTF">2022-06-29T11:14:00Z</dcterms:created>
  <dcterms:modified xsi:type="dcterms:W3CDTF">2022-07-05T11:34:00Z</dcterms:modified>
</cp:coreProperties>
</file>