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5973B75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 xml:space="preserve">“Anàlisi i criteris d’aplicació dels articles 544 </w:t>
            </w:r>
            <w:r w:rsidR="002E4A28">
              <w:rPr>
                <w:rFonts w:ascii="Arial" w:hAnsi="Arial" w:cs="Arial"/>
                <w:b/>
                <w:sz w:val="24"/>
                <w:szCs w:val="24"/>
              </w:rPr>
              <w:t>bis</w:t>
            </w:r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 xml:space="preserve">, 544 </w:t>
            </w:r>
            <w:r w:rsidR="002E4A28">
              <w:rPr>
                <w:rFonts w:ascii="Arial" w:hAnsi="Arial" w:cs="Arial"/>
                <w:b/>
                <w:sz w:val="24"/>
                <w:szCs w:val="24"/>
              </w:rPr>
              <w:t xml:space="preserve">ter </w:t>
            </w:r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 xml:space="preserve">i 544 </w:t>
            </w:r>
            <w:proofErr w:type="spellStart"/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>quinquies</w:t>
            </w:r>
            <w:proofErr w:type="spellEnd"/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 xml:space="preserve"> de la LECrim, dins de l’àmbit de la violència de gènere”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2E4A28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60DA41D7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E4A28">
        <w:rPr>
          <w:rFonts w:ascii="Arial" w:hAnsi="Arial" w:cs="Arial"/>
          <w:noProof/>
          <w:sz w:val="24"/>
          <w:szCs w:val="24"/>
        </w:rPr>
        <w:t>dimecres, 16 / novembre / 2022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A107" w14:textId="77777777" w:rsidR="0042026D" w:rsidRDefault="0042026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1ED7" w14:textId="77777777" w:rsidR="0042026D" w:rsidRDefault="004202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6A0E" w14:textId="75E1823D" w:rsidR="0042026D" w:rsidRDefault="002E4A28">
    <w:pPr>
      <w:pStyle w:val="Capalera"/>
    </w:pPr>
    <w:r>
      <w:rPr>
        <w:noProof/>
      </w:rPr>
      <w:pict w14:anchorId="674E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1" o:spid="_x0000_s2054" type="#_x0000_t75" style="position:absolute;margin-left:0;margin-top:0;width:636pt;height:399pt;z-index:-251657216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41FA64D0" w:rsidR="006823E6" w:rsidRDefault="002E4A28">
    <w:pPr>
      <w:pStyle w:val="Capalera"/>
    </w:pPr>
    <w:r>
      <w:rPr>
        <w:noProof/>
      </w:rPr>
      <w:pict w14:anchorId="3DFA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2" o:spid="_x0000_s2055" type="#_x0000_t75" style="position:absolute;margin-left:0;margin-top:0;width:636pt;height:399pt;z-index:-251656192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  <w:r w:rsidR="0042026D" w:rsidRPr="0042026D">
      <w:rPr>
        <w:noProof/>
      </w:rPr>
      <w:drawing>
        <wp:inline distT="0" distB="0" distL="0" distR="0" wp14:anchorId="2CF277F1" wp14:editId="287679A6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0C81" w14:textId="39DED82D" w:rsidR="0042026D" w:rsidRDefault="002E4A28">
    <w:pPr>
      <w:pStyle w:val="Capalera"/>
    </w:pPr>
    <w:r>
      <w:rPr>
        <w:noProof/>
      </w:rPr>
      <w:pict w14:anchorId="3518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0" o:spid="_x0000_s2053" type="#_x0000_t75" style="position:absolute;margin-left:0;margin-top:0;width:636pt;height:399pt;z-index:-251658240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8Q5Yp5ugFEGFdumNA9Ri2xSm1/st1SBjzA2O2Xh/7KOlwLgJ3L4NXnCF5yDk248AIDnqRBE3n+RqU9kO7EQ5Lw==" w:salt="JSOX0N0h10fw/Ou5EQp5Sw==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2C79F1"/>
    <w:rsid w:val="002E4A28"/>
    <w:rsid w:val="003003D5"/>
    <w:rsid w:val="00354308"/>
    <w:rsid w:val="003A4C50"/>
    <w:rsid w:val="003C41DA"/>
    <w:rsid w:val="003C62AF"/>
    <w:rsid w:val="0042026D"/>
    <w:rsid w:val="00511B55"/>
    <w:rsid w:val="0063041C"/>
    <w:rsid w:val="00670F92"/>
    <w:rsid w:val="00672D4B"/>
    <w:rsid w:val="006823E6"/>
    <w:rsid w:val="00765CAF"/>
    <w:rsid w:val="007C54D8"/>
    <w:rsid w:val="0082174B"/>
    <w:rsid w:val="008342E5"/>
    <w:rsid w:val="00974540"/>
    <w:rsid w:val="00A131B5"/>
    <w:rsid w:val="00A22B33"/>
    <w:rsid w:val="00A71A6C"/>
    <w:rsid w:val="00BC103A"/>
    <w:rsid w:val="00BE6E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8B74-B987-4A19-A587-EEA5E465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4</cp:revision>
  <cp:lastPrinted>2017-02-15T14:47:00Z</cp:lastPrinted>
  <dcterms:created xsi:type="dcterms:W3CDTF">2022-11-15T17:52:00Z</dcterms:created>
  <dcterms:modified xsi:type="dcterms:W3CDTF">2022-11-16T13:13:00Z</dcterms:modified>
</cp:coreProperties>
</file>